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2"/>
        <w:numPr>
          <w:ilvl w:val="0"/>
          <w:numId w:val="0"/>
        </w:numPr>
        <w:bidi w:val="0"/>
        <w:ind w:leftChars="0"/>
        <w:jc w:val="center"/>
        <w:rPr>
          <w:rFonts w:hint="default" w:eastAsia="宋体"/>
          <w:sz w:val="32"/>
          <w:szCs w:val="32"/>
          <w:lang w:val="en-US" w:eastAsia="zh-CN"/>
        </w:rPr>
      </w:pPr>
      <w:r>
        <w:rPr>
          <w:rFonts w:hint="eastAsia"/>
          <w:sz w:val="32"/>
          <w:szCs w:val="32"/>
          <w:lang w:val="en-US" w:eastAsia="zh-CN"/>
        </w:rPr>
        <w:t>社区体重管理门诊建设项目比选方案</w:t>
      </w:r>
    </w:p>
    <w:p>
      <w:pPr>
        <w:pStyle w:val="2"/>
        <w:bidi w:val="0"/>
        <w:ind w:left="0" w:leftChars="0" w:firstLine="0" w:firstLineChars="0"/>
      </w:pPr>
      <w:r>
        <w:rPr>
          <w:rFonts w:hint="eastAsia"/>
          <w:lang w:val="en-US" w:eastAsia="zh-CN"/>
        </w:rPr>
        <w:t>项目概述</w:t>
      </w:r>
    </w:p>
    <w:p>
      <w:pPr>
        <w:ind w:left="0" w:leftChars="0" w:firstLine="420" w:firstLineChars="200"/>
        <w:rPr>
          <w:rFonts w:hint="eastAsia" w:eastAsia="宋体"/>
          <w:lang w:eastAsia="zh-CN"/>
        </w:rPr>
      </w:pPr>
      <w:r>
        <w:rPr>
          <w:rFonts w:hint="eastAsia" w:eastAsia="宋体" w:asciiTheme="minorAscii" w:hAnsiTheme="minorAscii" w:cstheme="minorBidi"/>
          <w:kern w:val="2"/>
          <w:sz w:val="21"/>
          <w:szCs w:val="21"/>
          <w:shd w:val="clear" w:color="auto" w:fill="FFFFFF"/>
          <w:lang w:val="en-US" w:eastAsia="zh-CN" w:bidi="ar-SA"/>
        </w:rPr>
        <w:t>为落实健康中国战略，加强朝阳区基层社区</w:t>
      </w:r>
      <w:r>
        <w:rPr>
          <w:rFonts w:hint="eastAsia" w:cstheme="minorBidi"/>
          <w:kern w:val="2"/>
          <w:sz w:val="21"/>
          <w:szCs w:val="21"/>
          <w:shd w:val="clear" w:color="auto" w:fill="FFFFFF"/>
          <w:lang w:val="en-US" w:eastAsia="zh-CN" w:bidi="ar-SA"/>
        </w:rPr>
        <w:t>体重管理</w:t>
      </w:r>
      <w:r>
        <w:rPr>
          <w:rFonts w:hint="eastAsia" w:eastAsia="宋体" w:asciiTheme="minorAscii" w:hAnsiTheme="minorAscii" w:cstheme="minorBidi"/>
          <w:kern w:val="2"/>
          <w:sz w:val="21"/>
          <w:szCs w:val="21"/>
          <w:shd w:val="clear" w:color="auto" w:fill="FFFFFF"/>
          <w:lang w:val="en-US" w:eastAsia="zh-CN" w:bidi="ar-SA"/>
        </w:rPr>
        <w:t>，拟采购一套覆盖全区的智能化、数字化减重管理软件系统。该系统需服务于辖区内各基层社区医疗机构，实现医患协同、数据互通、全程管理的减重干预模式</w:t>
      </w:r>
      <w:r>
        <w:rPr>
          <w:rFonts w:hint="eastAsia" w:cstheme="minorBidi"/>
          <w:kern w:val="2"/>
          <w:sz w:val="21"/>
          <w:szCs w:val="21"/>
          <w:shd w:val="clear" w:color="auto" w:fill="FFFFFF"/>
          <w:lang w:val="en-US" w:eastAsia="zh-CN" w:bidi="ar-SA"/>
        </w:rPr>
        <w:t>。</w:t>
      </w:r>
    </w:p>
    <w:p>
      <w:pPr>
        <w:pStyle w:val="2"/>
        <w:bidi w:val="0"/>
        <w:ind w:left="0" w:leftChars="0" w:firstLine="0" w:firstLineChars="0"/>
      </w:pPr>
      <w:r>
        <w:rPr>
          <w:rFonts w:hint="eastAsia"/>
          <w:lang w:val="en-US" w:eastAsia="zh-CN"/>
        </w:rPr>
        <w:t>项目</w:t>
      </w:r>
      <w:r>
        <w:rPr>
          <w:rFonts w:hint="eastAsia"/>
        </w:rPr>
        <w:t>内容</w:t>
      </w:r>
    </w:p>
    <w:tbl>
      <w:tblPr>
        <w:tblStyle w:val="1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pPr>
            <w:r>
              <w:rPr>
                <w:rFonts w:hint="eastAsia"/>
              </w:rPr>
              <w:t>序号</w:t>
            </w:r>
          </w:p>
        </w:tc>
        <w:tc>
          <w:tcPr>
            <w:tcW w:w="2524" w:type="dxa"/>
            <w:vAlign w:val="center"/>
          </w:tcPr>
          <w:p>
            <w:pPr>
              <w:bidi w:val="0"/>
              <w:jc w:val="center"/>
            </w:pPr>
            <w:r>
              <w:rPr>
                <w:rFonts w:hint="eastAsia"/>
              </w:rPr>
              <w:t>名称</w:t>
            </w:r>
          </w:p>
        </w:tc>
        <w:tc>
          <w:tcPr>
            <w:tcW w:w="1173" w:type="dxa"/>
            <w:vAlign w:val="center"/>
          </w:tcPr>
          <w:p>
            <w:pPr>
              <w:bidi w:val="0"/>
              <w:jc w:val="center"/>
            </w:pPr>
            <w:r>
              <w:rPr>
                <w:rFonts w:hint="eastAsia"/>
              </w:rPr>
              <w:t>数量</w:t>
            </w:r>
          </w:p>
        </w:tc>
        <w:tc>
          <w:tcPr>
            <w:tcW w:w="4225" w:type="dxa"/>
            <w:vAlign w:val="center"/>
          </w:tcPr>
          <w:p>
            <w:pPr>
              <w:bidi w:val="0"/>
              <w:rPr>
                <w:rFonts w:hint="default" w:eastAsia="宋体"/>
                <w:lang w:val="en-US" w:eastAsia="zh-CN"/>
              </w:rPr>
            </w:pPr>
            <w:r>
              <w:rPr>
                <w:rFonts w:hint="eastAsia"/>
              </w:rPr>
              <w:t>交货期</w:t>
            </w:r>
            <w:r>
              <w:rPr>
                <w:rFonts w:hint="eastAsia"/>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default"/>
                <w:lang w:val="en-US"/>
              </w:rPr>
              <w:t>社区体重管理门诊建设项目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lang w:val="en-US" w:eastAsia="zh-CN"/>
              </w:rPr>
            </w:pPr>
            <w:r>
              <w:rPr>
                <w:rFonts w:hint="eastAsia"/>
                <w:lang w:val="en-US" w:eastAsia="zh-CN"/>
              </w:rPr>
              <w:t>1</w:t>
            </w:r>
          </w:p>
        </w:tc>
        <w:tc>
          <w:tcPr>
            <w:tcW w:w="4225" w:type="dxa"/>
            <w:vAlign w:val="center"/>
          </w:tcPr>
          <w:p>
            <w:pPr>
              <w:bidi w:val="0"/>
              <w:jc w:val="center"/>
            </w:pPr>
            <w:r>
              <w:rPr>
                <w:rFonts w:hint="eastAsia"/>
              </w:rPr>
              <w:t>合同签定后</w:t>
            </w:r>
            <w:r>
              <w:rPr>
                <w:rFonts w:hint="eastAsia"/>
                <w:lang w:val="en-US" w:eastAsia="zh-CN"/>
              </w:rPr>
              <w:t>3</w:t>
            </w:r>
            <w:r>
              <w:rPr>
                <w:rFonts w:hint="eastAsia"/>
              </w:rPr>
              <w:t>个月内</w:t>
            </w:r>
          </w:p>
        </w:tc>
      </w:tr>
    </w:tbl>
    <w:p>
      <w:pPr>
        <w:pStyle w:val="2"/>
        <w:bidi w:val="0"/>
        <w:ind w:left="0" w:leftChars="0" w:firstLine="0" w:firstLineChars="0"/>
      </w:pPr>
      <w:r>
        <w:rPr>
          <w:rFonts w:hint="eastAsia"/>
        </w:rPr>
        <w:t>技术要求</w:t>
      </w:r>
    </w:p>
    <w:tbl>
      <w:tblPr>
        <w:tblStyle w:val="18"/>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00"/>
        <w:gridCol w:w="1596"/>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p>
        </w:tc>
        <w:tc>
          <w:tcPr>
            <w:tcW w:w="7436" w:type="dxa"/>
            <w:gridSpan w:val="2"/>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医生端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0"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患者管理</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提供全面而高效的患者管理工具，系统根据就诊日期将患者列表智能分类为今日就诊、明日就诊及全部患者，方便社区医生及医院医生（下简称“医生”）快速定位。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每位患者的信息卡片清晰展示姓名、性别、年龄、首诊日期、下次复诊计划及最新体重记录等关键信息，便于医生快速了解患者情况。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对于具备高级权限的医院医生，系统还支持跨社区、跨医生查看患者信息及诊疗记录，并允许调整患者的主管医生或删除已不再门诊的患者，确保患者列表的实时性和准确性，助力医生高效管理诊疗流程。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医学减重评估</w:t>
            </w: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生可通过系统手动录入患者在社区或医院内检测与测量的各类减重相关指标数据，全面记录患者的健康状况。这些数据涵盖多个维度，包括体格检查（如身高、体重、BMI、血压、腰围、臀围、腰臀比等）、实验室检查（如血糖、血脂、肝功能、肾功能、维生素及激素水平等）、胰岛素功能（如OGTT各时间点的胰岛素、C肽及葡萄糖水平）、静息代谢率（如静息代谢率、呼吸熵等）、影像学检查（如超声、心电图、胸片等）以及体成分分析（如体脂百分比、瘦体重、内脏脂肪指数等）。通过多维度数据的整合，全面掌握患者的身体状态和健康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系统提供历史数据追溯功能，医生可随时查看患者历次检测与测量的完整记录。通过对比分析不同时间点的数据变化，医生能够直观了解患者的健康状况发展趋势，及时发现潜在问题并调整诊疗方案，为患者提供更连贯、更科学的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生化检查智能识别</w:t>
            </w: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医生可通过系统拍照上传生化检查报告的图片，系统将利用先进的图像识别与自然语言处理技术，自动化识别报告内容，并生成详尽的检查数据，可大幅提升数据录入的效率。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电子减重方案</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内置高蛋白饮食、轻断食模式及限能量平衡饮食等多种减重方案，覆盖不同患者的个性化需求。医生可根据患者的具体情况，快速选择合适的模板作为方案基础，提升方案制定的效率。提供智能减重方案推荐功能，可精准识别患者个体特征与需求，根据标准的营养推荐算法，自动生成个性化减重方案，助力医生高效指导患者健康减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支持减重药物建议。支持以社区为单位分配“减重药物建议”功能权限，贴合各社区人员配置与业务现状。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为提升医生的工作效率，系统支持保存食谱模板及快捷插入功能。医生可将常用的饮食计划或运动建议保存为模板，在制定新方案时快速调用，减少重复操作。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医生开具的电子减重方案可自动化推送到患者端，便于患者在线随时查看，确保信息的即时性与便捷性。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复诊与随访设置</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支持医生根据患者的诊疗需求，灵活设置下次复诊时间及居家随访周期计划，确保患者获得个性化的健康管理服务。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会根据医生设置的复诊时间，自动向患者发送复诊提醒通知，避免患者错过重要就诊时间。同时，基于随访周期计划，系统会定期向患者推送居家随访信息登记表，提醒患者按时反馈随访数据，便于医生持续跟踪患者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0" w:hRule="atLeast"/>
        </w:trPr>
        <w:tc>
          <w:tcPr>
            <w:tcW w:w="900" w:type="dxa"/>
            <w:shd w:val="clear" w:color="auto" w:fill="auto"/>
            <w:noWrap/>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596" w:type="dxa"/>
            <w:shd w:val="clear" w:color="auto" w:fill="auto"/>
            <w:noWrap/>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患者减重监测</w:t>
            </w: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持查看患者历次减重方案、患者打卡曲线图（涵盖体重、运动、腰围、血糖、血压等多项指标）以及历次饮食记录，为医生提供多维度的数据支持。打卡曲线图直观展示患者的健康指标变化趋势，帮助医生评估患者的日常行为习惯及依从性；历次饮食记录则为医生提供了患者的营养摄入情况，便于调整饮食建议。通过这些功能，医生能够更全面地掌握患者的健康状况和诊疗进展，为制定个性化、精准化的诊疗方案提供有力支持，最终帮助患者实现科学减重和健康改善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64" w:hRule="atLeast"/>
        </w:trPr>
        <w:tc>
          <w:tcPr>
            <w:tcW w:w="900" w:type="dxa"/>
            <w:shd w:val="clear" w:color="auto" w:fill="auto"/>
            <w:noWrap/>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596" w:type="dxa"/>
            <w:shd w:val="clear" w:color="auto" w:fill="auto"/>
            <w:noWrap/>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一键转诊</w:t>
            </w:r>
          </w:p>
        </w:tc>
        <w:tc>
          <w:tcPr>
            <w:tcW w:w="5840" w:type="dxa"/>
            <w:shd w:val="clear" w:color="auto" w:fill="auto"/>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以下特殊减重患者，社区医生可将患者一键转诊至上级医院，患者在上级医院患者列表中自动入组：1）中度肥胖症患者采用生活方式干预和/或减重药物治疗3个月，体重减轻小于5%或呈进行性增加；2）重度和极重度肥胖症；3）肥胖症合并多种严重代谢性疾病（严重的糖脂代谢紊乱、难治性高血压等）；4）疑似继发性肥胖症；5）医生判断患者需要上级医院处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rPr>
        <w:tc>
          <w:tcPr>
            <w:tcW w:w="900" w:type="dxa"/>
            <w:vMerge w:val="restart"/>
            <w:shd w:val="clear" w:color="auto" w:fill="auto"/>
            <w:noWrap/>
            <w:vAlign w:val="center"/>
          </w:tcPr>
          <w:p>
            <w:pPr>
              <w:jc w:val="both"/>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1.8</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数据管理</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完善的账号数据管理支持，医生可自主创建并维护社区/医院患者分组体系，灵活配置患者分组标签。系统支持个性化减重方案模板的创建与管理，医生可包含食谱方案、运动建议等要素的标准治疗方案模板，并支持在实际应用中快速调取与个性化调整，显著提升诊疗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系统特别设置主管医生变更机制，具备高级权限的主任医生可批量进行患者转移操作，完成患者交接工作，确保患者管理的连续性不受影响。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p>
        </w:tc>
        <w:tc>
          <w:tcPr>
            <w:tcW w:w="7436" w:type="dxa"/>
            <w:gridSpan w:val="2"/>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减重患者端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首诊建档</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患者可在首次就诊前在线完成首诊档案建档，涵盖体格情况、生活方式、心理认知、目标期望等详细信息。医生可提前预览建档内容，快速了解患者情况，简化问诊流程，提升就诊效率。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电子减重方案</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提供电子减重方案查看功能，患者可随时通过平台实时查看医生推送的个性化减重方案内容。无论是饮食计划、运动建议，还是执行说明指导，患者都能在第一时间获取并了解方案细节，确保减重计划的及时性和可执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0"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2.3</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饮食日记</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上千种常见食物供患者选择添加，涵盖食材、菜肴、小吃、预包装食品及营养品等，助力患者通过平台精细化记录每日饮食数据。系统支持选择克重或份数进行填写，实时计算并可视化关键营养素，让每一口食物的营养价值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3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提供饮食拍照识别功能，只需拍照上传餐次的食物图片，系统即可通过前沿的图像识别技术，智能识别食物种类、估算食物的分量，并精确计算出每一份食物的营养素含量。无论是日常餐食还是特殊场合的美食，都能即时提供详尽的营养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为提升记录的准确性，系统配备专业的重量估算图，帮助患者精准估算食材重量。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系统提供全面的营养分析功能，可对关键营养素及微量元素摄入、餐次供能比、蛋白质/碳水/蔬菜来源比等进行多维度分析，并生成十五大营养素每日食物来源排行榜。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2"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2.4</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食物宜忌AI机器人</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融合自然语言处理与临床营养知识图谱，实现复合疾病下的饮食宜忌智能问答，语音交互，秒问秒答，为患者提供精准的饮食禁忌问答服务。并且支持多重疾病交叉场景（如糖尿病合并痛风）的复合禁忌分析，通过疾病-营养素关联算法实现跨病种风险同步校验。支持多维度的问题类别，包括食物宜忌类、菜肴宜忌类、疾病饮食知道类、营养素补充剂宜忌类、保健型功能食品宜忌类、药食两用药材宜忌类、特殊用途饮料宜忌类、滋补品宜忌类。语音对话和运算分析能力：支持语音功能，可由用户语音提问智能营养师，经由语音识别引擎及语义分析引擎，由智能营养师语音回复。针对语音不便的场景下，支持输入辅助功能，可由用户输入问题，代替语音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p>
        </w:tc>
        <w:tc>
          <w:tcPr>
            <w:tcW w:w="1596" w:type="dxa"/>
            <w:vMerge w:val="restart"/>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体重打卡</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支持患者每日自主录入体重及体脂率数据，并配备历史数据追溯补录机制，有效保障健康数据的时序完整性。医生端同步开放修正权限，允许对异常监测数据进行校准修正，确保数据的医学可信度。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采用动态阈值算法实时监测用户依从性状态。当系统检测到连续缺卡7日时，自动触发提醒机制，确保患者持续参与，避免数据断层影响营养干预效果评估。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通过蓝牙协议与专业体脂秤实现数据直连，可采集涵盖体重、体脂率、脂肪量、内脏脂肪、肌肉量、骨骼肌率、体水分、蛋白质、骨量、基础代谢等16项体成分参数，并提供完整的数据溯源功能，帮助患者建立长期健康档案，可随时调阅任意时间节点的详细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0"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rPr>
            </w:pPr>
          </w:p>
        </w:tc>
        <w:tc>
          <w:tcPr>
            <w:tcW w:w="1596" w:type="dxa"/>
            <w:vMerge w:val="continue"/>
            <w:shd w:val="clear" w:color="auto" w:fill="auto"/>
            <w:vAlign w:val="center"/>
          </w:tcPr>
          <w:p>
            <w:pPr>
              <w:jc w:val="both"/>
              <w:rPr>
                <w:rFonts w:hint="eastAsia" w:ascii="仿宋" w:hAnsi="仿宋" w:eastAsia="仿宋" w:cs="仿宋"/>
                <w:color w:val="auto"/>
                <w:sz w:val="24"/>
                <w:szCs w:val="24"/>
              </w:rPr>
            </w:pP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深度整合循证医学指南与机器学习技术，根据患者体成分变化特征，分析潜在的体重波动模式与影响因素，自动生成个性化的指导建议，涵盖饮食调整、运动优化、生活习惯改善等方面，确保患者在减重过程中获得科学、有效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2.6</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运动打卡</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患者可通过平台手动记录每日运动详情，包括运动类型（如跑步、游泳、瑜伽等）、持续时长。同时，可对接微信运动，用户完成授权后即可自动同步每日步数数据，免除手动输入的繁琐，大幅提升记录效率。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2.7</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多维度健康数据监测</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提供腰围、血压、血糖等多维度的打卡监测功能，患者可通过平台每日记录相关数据，逐步构建起完整的个人健康档案。每日的腰围变化、血压和血糖的波动情况，患者都能通过简洁易用的界面便捷地录入数据。同时，提供补卡功能，患者可随时补充遗漏的打卡记录，确保数据的完整性和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1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2.8</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智能营养师</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配备先进的智能营养师问答功能，为每位患者提供一对一的智能问答服务。通过自然语言处理与大数据分析，智能营养师能够精准理解患者的提问，并提供专业、个性化的营养建议。无论是关于饮食搭配、运动计划，还是不适反应、生活习惯调整，智能营养师都能给予详尽解答，确保患者在减重过程中获得全方位的支持与指导，实现全天候、无间断的智能化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2.10</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减重宣教</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提供涵盖饮食、误区、常见问题、运动、不良反应、高蛋白、轻断食、限能量八大类目的减重短视频教育内容，帮助患者全面了解科学减重的相关知识。每个类目下的视频内容均经过专业审核，确保信息的准确性和实用性。便于患者随时随地学习，提升健康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p>
        </w:tc>
        <w:tc>
          <w:tcPr>
            <w:tcW w:w="7436" w:type="dxa"/>
            <w:gridSpan w:val="2"/>
            <w:shd w:val="clear" w:color="auto" w:fill="auto"/>
            <w:noWrap/>
            <w:vAlign w:val="center"/>
          </w:tcPr>
          <w:p>
            <w:pPr>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医学减重管理端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肥胖筛查网</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通过社区减重患者筛查网，以智能网格式二维码筛查的方式，围绕医联体下属社区进行广泛肥胖患者筛查，建立肥胖患者分层诊疗机制，形成肥胖群体健康防控网络，做好“三级精治-社区管控-公卫预防”的分级防控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5"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牵头医院管理数字大屏</w:t>
            </w: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系统按月自动化统计患者管理核心指标，包括患者总体情况、减重治疗及效果数据、各社区减重患者数、肥胖相关疾病占比、肥胖症诊断、治疗前后指标改善率、年龄分布、男女比例、居家管理数据。支持自定义设置看板显示指标，可从预设的指标中勾选展示项，所有配置实时生效，看板数据动态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牵头医院科研数字大屏</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按月自动化统计患者减重效果监测与科研核心指标，包括患者总体情况、减重治疗及效果数据、各社区减重患者数、年龄分布、男女比例、肥胖相关疾病占比、减重动机、营养素超标占比、在外就餐占比（含外卖）、暴饮暴食、荤素偏好、油盐偏好、运动频次占比、使用手机时长、肥胖家族史、心理压力、减重经历、是否抽烟、肥胖症诊断、减重治疗方案占比、用药不良反应占比、指标改善率、居家管理数据。支持自定义设置看板显示指标，可从预设的指标中勾选展示项，所有配置实时生效，看板数据动态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3.4</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牵头医院减重患者入组管理</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支持根据患者情况，对患者进行标记分组，便于高效管理。系统提供近30个标签组，包括患者肠内使用情况、性别、年龄、BMI情况等基础性标签，以及减重方案、减重状态、减重动机等信息标签。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8"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构建多维度的患者检索机制，支持通过患者姓名、手机号、备注信息、分管社区、分管营养（医）师、建档时间、人群分组、患者标签等关键字段进行精准搜索与筛选。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2"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社区医生可将特殊减重患者一键转诊至上级医院，转诊患者在上级医院自动入组。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2"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医院可查看并管理本项目所有患者的入组信息。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6"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项目医学减重统计报表</w:t>
            </w: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社区减重统计报表，各社区查看本单位数据。</w:t>
            </w:r>
          </w:p>
          <w:p>
            <w:pPr>
              <w:jc w:val="both"/>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可按月统计本社区减重数据，包括新增减重患者数、首诊建档人数、性别人数与占比、年龄区间人数与占比、肥胖合并疾病人数与占比（高血糖、高血压、血脂异常、非酒精性脂肪肝、慢阻肺、冠心病、多囊卵巢综合症）、肥胖症诊断人数与占比、减重方案占比、减重随访人次、复诊提醒人次、体重打卡人次、转诊人数。支持查询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6"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项目减重统计报表，医院查看本项目数据。</w:t>
            </w:r>
          </w:p>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可按月统计本项目（各社区及本院合并统计）减重数据，包括新增减重患者数、首诊建档人数、性别人数与占比、年龄区间人数与占比、肥胖合并疾病人数与占比（高血糖、高血压、血脂异常、非酒精性脂肪肝、慢阻肺、冠心病、多囊卵巢综合症）、肥胖症诊断人数与占比、减重方案占比、减重随访人次、复诊提醒人次、体重打卡人次、转诊人数。支持查询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项目各单位减重数据表，医院查看本项目所有单位数据。</w:t>
            </w:r>
          </w:p>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可按时间段统计本项目各单位减重数据，包括单位名称、减重人数、首次建档、肥胖诊断（超重、轻度、中度、重度、极重度）人数、合并疾病人数（高糖、高压、高脂、脂肪肝、慢阻肺、冠心病、多囊）、减重随访人次、复诊提醒人次、体重打卡人次。支持查询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trPr>
        <w:tc>
          <w:tcPr>
            <w:tcW w:w="900"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w:t>
            </w:r>
          </w:p>
        </w:tc>
        <w:tc>
          <w:tcPr>
            <w:tcW w:w="1596" w:type="dxa"/>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基层社区减重管理数字大屏</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系统按月自动化统计患者管理核心指标，包括肥胖筛查人数、肥胖入组人数、转诊人数、患者总体情况、减重治疗及效果数据、各社区减重患者数、肥胖相关疾病占比、肥胖症诊断、年龄分布、男女比例、居家管理数据。支持自定义设置看板显示指标，可从预设的指标中勾选展示项，所有配置实时生效，看板数据动态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6" w:hRule="atLeast"/>
        </w:trPr>
        <w:tc>
          <w:tcPr>
            <w:tcW w:w="900"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p>
        </w:tc>
        <w:tc>
          <w:tcPr>
            <w:tcW w:w="1596" w:type="dxa"/>
            <w:vMerge w:val="restart"/>
            <w:shd w:val="clear" w:color="auto" w:fill="auto"/>
            <w:noWrap/>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基层社区减重患者入组管理</w:t>
            </w:r>
          </w:p>
        </w:tc>
        <w:tc>
          <w:tcPr>
            <w:tcW w:w="5840" w:type="dxa"/>
            <w:shd w:val="clear" w:color="auto" w:fill="auto"/>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支持根据患者情况，对患者进行标记分组，便于高效管理。系统提供近30个标签组，包括患者肠内使用情况、性别、年龄、BMI情况等基础性标签，以及减重方案、减重状态、减重动机等信息标签。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6" w:hRule="atLeast"/>
        </w:trPr>
        <w:tc>
          <w:tcPr>
            <w:tcW w:w="900" w:type="dxa"/>
            <w:vMerge w:val="continue"/>
            <w:shd w:val="clear" w:color="auto" w:fill="auto"/>
            <w:noWrap/>
            <w:vAlign w:val="center"/>
          </w:tcPr>
          <w:p>
            <w:pPr>
              <w:jc w:val="both"/>
              <w:rPr>
                <w:color w:val="auto"/>
              </w:rPr>
            </w:pPr>
          </w:p>
        </w:tc>
        <w:tc>
          <w:tcPr>
            <w:tcW w:w="1596" w:type="dxa"/>
            <w:vMerge w:val="continue"/>
            <w:shd w:val="clear" w:color="auto" w:fill="auto"/>
            <w:noWrap/>
            <w:vAlign w:val="center"/>
          </w:tcPr>
          <w:p>
            <w:pPr>
              <w:jc w:val="both"/>
              <w:rPr>
                <w:color w:val="auto"/>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构建多维度的患者检索机制，支持通过患者姓名、手机号、备注信息、分管营养（医）师、建档时间、人群分组、患者标签等关键字段进行精准搜索与筛选。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6" w:hRule="atLeast"/>
        </w:trPr>
        <w:tc>
          <w:tcPr>
            <w:tcW w:w="900" w:type="dxa"/>
            <w:vMerge w:val="continue"/>
            <w:shd w:val="clear" w:color="auto" w:fill="auto"/>
            <w:noWrap/>
            <w:vAlign w:val="center"/>
          </w:tcPr>
          <w:p>
            <w:pPr>
              <w:jc w:val="both"/>
              <w:rPr>
                <w:rFonts w:hint="eastAsia" w:ascii="仿宋" w:hAnsi="仿宋" w:eastAsia="仿宋" w:cs="仿宋"/>
                <w:color w:val="auto"/>
                <w:sz w:val="24"/>
                <w:szCs w:val="24"/>
                <w:lang w:val="en-US" w:eastAsia="zh-CN"/>
              </w:rPr>
            </w:pPr>
          </w:p>
        </w:tc>
        <w:tc>
          <w:tcPr>
            <w:tcW w:w="1596" w:type="dxa"/>
            <w:vMerge w:val="continue"/>
            <w:shd w:val="clear" w:color="auto" w:fill="auto"/>
            <w:noWrap/>
            <w:vAlign w:val="center"/>
          </w:tcPr>
          <w:p>
            <w:pPr>
              <w:jc w:val="both"/>
              <w:rPr>
                <w:rFonts w:hint="eastAsia" w:ascii="仿宋" w:hAnsi="仿宋" w:eastAsia="仿宋" w:cs="仿宋"/>
                <w:color w:val="auto"/>
                <w:sz w:val="24"/>
                <w:szCs w:val="24"/>
                <w:lang w:val="en-US" w:eastAsia="zh-CN"/>
              </w:rPr>
            </w:pPr>
          </w:p>
        </w:tc>
        <w:tc>
          <w:tcPr>
            <w:tcW w:w="5840" w:type="dxa"/>
            <w:shd w:val="clear" w:color="auto" w:fill="auto"/>
            <w:vAlign w:val="center"/>
          </w:tcPr>
          <w:p>
            <w:p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社区医生可将特殊减重患者一键转诊至上级医院，转诊患者在本社区自动出组、在上级医院自动入组。</w:t>
            </w:r>
          </w:p>
        </w:tc>
      </w:tr>
    </w:tbl>
    <w:p>
      <w:pPr>
        <w:rPr>
          <w:rFonts w:hint="eastAsia"/>
          <w:lang w:val="en-US" w:eastAsia="zh-CN"/>
        </w:rPr>
      </w:pPr>
    </w:p>
    <w:p>
      <w:pPr>
        <w:pStyle w:val="2"/>
        <w:bidi w:val="0"/>
        <w:ind w:left="0" w:leftChars="0" w:firstLine="0" w:firstLineChars="0"/>
      </w:pPr>
      <w:r>
        <w:rPr>
          <w:rFonts w:hint="eastAsia"/>
          <w:lang w:val="en-US" w:eastAsia="zh-CN"/>
        </w:rPr>
        <w:t>商务条款</w:t>
      </w:r>
    </w:p>
    <w:p>
      <w:pPr>
        <w:numPr>
          <w:ilvl w:val="0"/>
          <w:numId w:val="3"/>
        </w:numPr>
        <w:bidi w:val="0"/>
        <w:rPr>
          <w:rFonts w:hint="eastAsia"/>
        </w:rPr>
      </w:pPr>
      <w:r>
        <w:rPr>
          <w:rFonts w:hint="eastAsia"/>
        </w:rPr>
        <w:t>本次项目中涉及的系统软件须至少提供原厂</w:t>
      </w:r>
      <w:r>
        <w:rPr>
          <w:rFonts w:hint="eastAsia"/>
          <w:lang w:val="en-US" w:eastAsia="zh-CN"/>
        </w:rPr>
        <w:t>叁</w:t>
      </w:r>
      <w:r>
        <w:rPr>
          <w:rFonts w:hint="eastAsia"/>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rPr>
        <w:t>。</w:t>
      </w:r>
    </w:p>
    <w:p>
      <w:pPr>
        <w:numPr>
          <w:ilvl w:val="0"/>
          <w:numId w:val="3"/>
        </w:numPr>
        <w:bidi w:val="0"/>
        <w:rPr>
          <w:rFonts w:hint="default"/>
          <w:lang w:val="en-US" w:eastAsia="zh-CN"/>
        </w:rPr>
      </w:pPr>
      <w:r>
        <w:rPr>
          <w:rFonts w:hint="eastAsia"/>
          <w:lang w:val="en-US" w:eastAsia="zh-CN"/>
        </w:rPr>
        <w:t>报价</w:t>
      </w:r>
      <w:r>
        <w:rPr>
          <w:rFonts w:hint="eastAsia"/>
        </w:rPr>
        <w:t>人负责项目相关设备软件的安装、调试及上线，招标单位予以配合。</w:t>
      </w:r>
    </w:p>
    <w:p>
      <w:pPr>
        <w:numPr>
          <w:ilvl w:val="0"/>
          <w:numId w:val="3"/>
        </w:numPr>
        <w:bidi w:val="0"/>
      </w:pPr>
      <w:r>
        <w:rPr>
          <w:rFonts w:hint="eastAsia"/>
          <w:lang w:val="en-US" w:eastAsia="zh-CN"/>
        </w:rPr>
        <w:t>报价</w:t>
      </w:r>
      <w:r>
        <w:rPr>
          <w:rFonts w:hint="eastAsia" w:eastAsia="宋体"/>
        </w:rPr>
        <w:t>人负责与医院现有系统的对接，但不承担第三方收取的因对接工作收取的接口费</w:t>
      </w:r>
      <w:r>
        <w:rPr>
          <w:rFonts w:hint="eastAsia" w:eastAsia="宋体"/>
          <w:lang w:eastAsia="zh-CN"/>
        </w:rPr>
        <w:t>。</w:t>
      </w:r>
    </w:p>
    <w:p>
      <w:pPr>
        <w:numPr>
          <w:ilvl w:val="0"/>
          <w:numId w:val="3"/>
        </w:numPr>
        <w:bidi w:val="0"/>
      </w:pPr>
      <w:r>
        <w:rPr>
          <w:rFonts w:hint="eastAsia"/>
          <w:lang w:val="en-US" w:eastAsia="zh-CN"/>
        </w:rPr>
        <w:t>报价</w:t>
      </w:r>
      <w:r>
        <w:rPr>
          <w:rFonts w:hint="eastAsia"/>
        </w:rPr>
        <w:t>人有良好的售后服务能力，需提供全年7天24小时服务（电话、远程或现场），并在接到招标人通知后</w:t>
      </w:r>
      <w:r>
        <w:rPr>
          <w:rFonts w:hint="eastAsia"/>
          <w:lang w:val="en-US" w:eastAsia="zh-CN"/>
        </w:rPr>
        <w:t>2</w:t>
      </w:r>
      <w:r>
        <w:rPr>
          <w:rFonts w:hint="eastAsia"/>
        </w:rPr>
        <w:t>4小时内到达现场。项目验收合格后，每年不低于</w:t>
      </w:r>
      <w:r>
        <w:rPr>
          <w:rFonts w:hint="eastAsia"/>
          <w:lang w:val="en-US" w:eastAsia="zh-CN"/>
        </w:rPr>
        <w:t>2</w:t>
      </w:r>
      <w:r>
        <w:rPr>
          <w:rFonts w:hint="eastAsia"/>
        </w:rPr>
        <w:t>次的例行维护及巡检。</w:t>
      </w:r>
    </w:p>
    <w:p>
      <w:pPr>
        <w:numPr>
          <w:ilvl w:val="0"/>
          <w:numId w:val="3"/>
        </w:numPr>
        <w:bidi w:val="0"/>
        <w:rPr>
          <w:rFonts w:hint="default"/>
          <w:lang w:val="en-US" w:eastAsia="zh-CN"/>
        </w:rPr>
      </w:pPr>
      <w:r>
        <w:rPr>
          <w:rFonts w:hint="eastAsia"/>
        </w:rPr>
        <w:t>培训：根据医院的情况制定相关培训方案，课程设置等。所有的培训费用必须计入</w:t>
      </w:r>
      <w:r>
        <w:rPr>
          <w:rFonts w:hint="eastAsia"/>
          <w:lang w:val="en-US" w:eastAsia="zh-CN"/>
        </w:rPr>
        <w:t>报价</w:t>
      </w:r>
      <w:r>
        <w:rPr>
          <w:rFonts w:hint="eastAsia"/>
        </w:rPr>
        <w:t>总价。</w:t>
      </w:r>
    </w:p>
    <w:p>
      <w:pPr>
        <w:pStyle w:val="2"/>
        <w:bidi w:val="0"/>
        <w:ind w:left="0" w:leftChars="0" w:firstLine="0" w:firstLineChars="0"/>
      </w:pPr>
      <w:r>
        <w:rPr>
          <w:rFonts w:hint="eastAsia"/>
        </w:rPr>
        <w:t>评分标准</w:t>
      </w:r>
    </w:p>
    <w:p>
      <w:pPr>
        <w:pStyle w:val="3"/>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3"/>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4"/>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10</w:t>
      </w:r>
      <w:r>
        <w:rPr>
          <w:rFonts w:hint="eastAsia"/>
        </w:rPr>
        <w:t>。</w:t>
      </w:r>
    </w:p>
    <w:p>
      <w:pPr>
        <w:pStyle w:val="4"/>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6182" w:type="dxa"/>
            <w:tcBorders>
              <w:top w:val="single" w:color="000000"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1156" w:type="dxa"/>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vMerge w:val="restart"/>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企业及产品认证</w:t>
            </w:r>
          </w:p>
        </w:tc>
        <w:tc>
          <w:tcPr>
            <w:tcW w:w="6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0"/>
                <w:szCs w:val="20"/>
                <w:lang w:val="en-US" w:eastAsia="zh-CN" w:bidi="ar"/>
              </w:rPr>
              <w:t>投标人提供高新技术企业证书，得1分；</w:t>
            </w:r>
            <w:r>
              <w:rPr>
                <w:rFonts w:hint="default" w:ascii="宋体" w:hAnsi="Helvetica" w:eastAsia="宋体" w:cs="Helvetica"/>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投标人提供省部级专精特新企业证书，得2分；</w:t>
            </w:r>
            <w:r>
              <w:rPr>
                <w:rFonts w:hint="default" w:ascii="宋体" w:hAnsi="Helvetica" w:eastAsia="宋体" w:cs="Helvetica"/>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（提供有效期内的证书复印件）</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sz w:val="21"/>
                <w:szCs w:val="21"/>
                <w:u w:val="none"/>
                <w:lang w:val="en-US" w:eastAsia="zh-CN"/>
              </w:rPr>
            </w:pPr>
            <w:r>
              <w:rPr>
                <w:rFonts w:hint="eastAsia" w:ascii="Calibri" w:hAnsi="Calibri" w:cs="Calibri"/>
                <w:i w:val="0"/>
                <w:iCs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184" w:type="dxa"/>
            <w:vMerge w:val="continue"/>
            <w:tcBorders>
              <w:top w:val="nil"/>
              <w:left w:val="single" w:color="000000" w:sz="4" w:space="0"/>
              <w:bottom w:val="single" w:color="000000" w:sz="8"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color w:val="000000"/>
                <w:kern w:val="0"/>
                <w:sz w:val="20"/>
                <w:szCs w:val="20"/>
                <w:lang w:val="en-US" w:eastAsia="zh-CN" w:bidi="ar"/>
              </w:rPr>
              <w:t>投标人提供有效的ISO9001质量管理体系认证、ISO20000信息技术服务管理体系认证、ISO27001信息安全管理体系认证、知识产权合规管理体系认证证书；证书有1个，得1分，最多3分。</w:t>
            </w:r>
            <w:r>
              <w:rPr>
                <w:rFonts w:hint="default" w:ascii="宋体" w:hAnsi="Helvetica" w:eastAsia="宋体" w:cs="Helvetica"/>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（提供有效期内的证书复印件）</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eastAsia="宋体" w:cs="Calibri"/>
                <w:i w:val="0"/>
                <w:iCs w:val="0"/>
                <w:color w:val="000000"/>
                <w:sz w:val="21"/>
                <w:szCs w:val="21"/>
                <w:u w:val="none"/>
                <w:lang w:val="en-US" w:eastAsia="zh-CN"/>
              </w:rPr>
            </w:pPr>
            <w:r>
              <w:rPr>
                <w:rFonts w:hint="eastAsia" w:ascii="Calibri" w:hAnsi="Calibri" w:cs="Calibri"/>
                <w:i w:val="0"/>
                <w:iCs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184" w:type="dxa"/>
            <w:vMerge w:val="continue"/>
            <w:tcBorders>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both"/>
              <w:textAlignment w:val="center"/>
            </w:pPr>
          </w:p>
        </w:tc>
        <w:tc>
          <w:tcPr>
            <w:tcW w:w="6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投标人提供有医学减重平台类似软件著作权</w:t>
            </w:r>
            <w:r>
              <w:rPr>
                <w:rFonts w:hint="eastAsia" w:ascii="宋体" w:hAnsi="宋体" w:cs="宋体"/>
                <w:color w:val="000000"/>
                <w:kern w:val="0"/>
                <w:sz w:val="20"/>
                <w:szCs w:val="20"/>
                <w:lang w:val="en-US" w:eastAsia="zh-CN" w:bidi="ar"/>
              </w:rPr>
              <w:t>，得2分，其中有医学减重平台软件著作权，再加2分，总分4分</w:t>
            </w:r>
            <w:r>
              <w:rPr>
                <w:rFonts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（提供软件著作权证书复印件）。</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184" w:type="dxa"/>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5"/>
                <w:lang w:val="en-US" w:eastAsia="zh-CN" w:bidi="ar"/>
              </w:rPr>
              <w:t>证明</w:t>
            </w:r>
          </w:p>
        </w:tc>
        <w:tc>
          <w:tcPr>
            <w:tcW w:w="6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人或原厂厂家须提供近三年（开标之日往前追溯三年，以签订合同之日或中标通知书发出之日为准）的同类型（</w:t>
            </w:r>
            <w:r>
              <w:rPr>
                <w:rFonts w:hint="eastAsia" w:ascii="宋体" w:hAnsi="宋体" w:eastAsia="宋体" w:cs="宋体"/>
                <w:color w:val="000000"/>
                <w:kern w:val="0"/>
                <w:sz w:val="20"/>
                <w:szCs w:val="20"/>
                <w:lang w:val="en-US" w:eastAsia="zh-CN" w:bidi="ar"/>
              </w:rPr>
              <w:t>医学减重平台</w:t>
            </w:r>
            <w:r>
              <w:rPr>
                <w:rFonts w:hint="eastAsia" w:ascii="宋体" w:hAnsi="宋体" w:eastAsia="宋体" w:cs="宋体"/>
                <w:i w:val="0"/>
                <w:iCs w:val="0"/>
                <w:color w:val="000000"/>
                <w:kern w:val="0"/>
                <w:sz w:val="21"/>
                <w:szCs w:val="21"/>
                <w:u w:val="none"/>
                <w:lang w:val="en-US" w:eastAsia="zh-CN" w:bidi="ar"/>
              </w:rPr>
              <w:t>）建设项目应用案例，每提供一个有效业绩得</w:t>
            </w:r>
            <w:r>
              <w:rPr>
                <w:rStyle w:val="24"/>
                <w:rFonts w:hint="eastAsia"/>
                <w:lang w:val="en-US" w:eastAsia="zh-CN" w:bidi="ar"/>
              </w:rPr>
              <w:t>1</w:t>
            </w:r>
            <w:r>
              <w:rPr>
                <w:rStyle w:val="25"/>
                <w:lang w:val="en-US" w:eastAsia="zh-CN" w:bidi="ar"/>
              </w:rPr>
              <w:t>分，最高得</w:t>
            </w:r>
            <w:r>
              <w:rPr>
                <w:rStyle w:val="24"/>
                <w:rFonts w:hint="eastAsia"/>
                <w:lang w:val="en-US" w:eastAsia="zh-CN" w:bidi="ar"/>
              </w:rPr>
              <w:t>3</w:t>
            </w:r>
            <w:r>
              <w:rPr>
                <w:rStyle w:val="25"/>
                <w:lang w:val="en-US" w:eastAsia="zh-CN" w:bidi="ar"/>
              </w:rPr>
              <w:t>分。（提供</w:t>
            </w:r>
            <w:r>
              <w:rPr>
                <w:rStyle w:val="25"/>
                <w:rFonts w:hint="eastAsia"/>
                <w:lang w:val="en-US" w:eastAsia="zh-CN" w:bidi="ar"/>
              </w:rPr>
              <w:t>乙方证明</w:t>
            </w:r>
            <w:r>
              <w:rPr>
                <w:rStyle w:val="25"/>
                <w:lang w:val="en-US" w:eastAsia="zh-CN" w:bidi="ar"/>
              </w:rPr>
              <w:t>或合同复印件）。</w:t>
            </w:r>
          </w:p>
        </w:tc>
        <w:tc>
          <w:tcPr>
            <w:tcW w:w="1156" w:type="dxa"/>
            <w:tcBorders>
              <w:top w:val="single" w:color="auto" w:sz="4" w:space="0"/>
              <w:left w:val="single" w:color="auto"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84"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技术响应部分</w:t>
            </w:r>
          </w:p>
        </w:tc>
        <w:tc>
          <w:tcPr>
            <w:tcW w:w="618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技术要求、功能要求的具体响应情况</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w:t>
            </w:r>
            <w:r>
              <w:rPr>
                <w:rFonts w:hint="eastAsia" w:ascii="宋体" w:hAnsi="宋体" w:cs="宋体"/>
                <w:i w:val="0"/>
                <w:iCs w:val="0"/>
                <w:color w:val="000000"/>
                <w:kern w:val="0"/>
                <w:sz w:val="21"/>
                <w:szCs w:val="21"/>
                <w:u w:val="none"/>
                <w:lang w:val="en-US" w:eastAsia="zh-CN" w:bidi="ar"/>
              </w:rPr>
              <w:t>完全符合技术要求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 xml:space="preserve">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w:t>
            </w:r>
            <w:r>
              <w:rPr>
                <w:rFonts w:hint="eastAsia" w:ascii="宋体" w:hAnsi="宋体" w:cs="宋体"/>
                <w:i w:val="0"/>
                <w:iCs w:val="0"/>
                <w:color w:val="000000"/>
                <w:kern w:val="0"/>
                <w:sz w:val="21"/>
                <w:szCs w:val="21"/>
                <w:u w:val="none"/>
                <w:lang w:val="en-US" w:eastAsia="zh-CN" w:bidi="ar"/>
              </w:rPr>
              <w:t>部分</w:t>
            </w:r>
            <w:r>
              <w:rPr>
                <w:rFonts w:hint="eastAsia" w:ascii="宋体" w:hAnsi="宋体" w:eastAsia="宋体" w:cs="宋体"/>
                <w:i w:val="0"/>
                <w:iCs w:val="0"/>
                <w:color w:val="000000"/>
                <w:kern w:val="0"/>
                <w:sz w:val="21"/>
                <w:szCs w:val="21"/>
                <w:u w:val="none"/>
                <w:lang w:val="en-US" w:eastAsia="zh-CN" w:bidi="ar"/>
              </w:rPr>
              <w:t>符合</w:t>
            </w:r>
            <w:r>
              <w:rPr>
                <w:rFonts w:hint="eastAsia" w:ascii="宋体" w:hAnsi="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w:t>
            </w:r>
            <w:r>
              <w:rPr>
                <w:rFonts w:hint="eastAsia" w:ascii="宋体" w:hAnsi="宋体" w:cs="宋体"/>
                <w:i w:val="0"/>
                <w:iCs w:val="0"/>
                <w:color w:val="000000"/>
                <w:kern w:val="0"/>
                <w:sz w:val="21"/>
                <w:szCs w:val="21"/>
                <w:u w:val="none"/>
                <w:lang w:val="en-US" w:eastAsia="zh-CN" w:bidi="ar"/>
              </w:rPr>
              <w:t>基本符合技术要求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符合部分功能需要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Fonts w:hint="eastAsia" w:ascii="宋体" w:hAnsi="宋体" w:cs="宋体"/>
                <w:i w:val="0"/>
                <w:iCs w:val="0"/>
                <w:color w:val="000000"/>
                <w:kern w:val="0"/>
                <w:sz w:val="21"/>
                <w:szCs w:val="21"/>
                <w:u w:val="none"/>
                <w:lang w:val="en-US" w:eastAsia="zh-CN" w:bidi="ar"/>
              </w:rPr>
              <w:t>完全不符合功能需要</w:t>
            </w:r>
            <w:r>
              <w:rPr>
                <w:rFonts w:hint="eastAsia" w:ascii="宋体" w:hAnsi="宋体" w:eastAsia="宋体" w:cs="宋体"/>
                <w:i w:val="0"/>
                <w:iCs w:val="0"/>
                <w:color w:val="000000"/>
                <w:kern w:val="0"/>
                <w:sz w:val="21"/>
                <w:szCs w:val="21"/>
                <w:u w:val="none"/>
                <w:lang w:val="en-US" w:eastAsia="zh-CN" w:bidi="ar"/>
              </w:rPr>
              <w:t>，得 0 分。</w:t>
            </w:r>
          </w:p>
        </w:tc>
        <w:tc>
          <w:tcPr>
            <w:tcW w:w="1156"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184" w:type="dxa"/>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组织实施方案</w:t>
            </w: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人项目组织实施方案的科学性、合理性、规范性和可操作性，包括安装调试、组织机构、工作时</w:t>
            </w:r>
            <w:bookmarkStart w:id="0" w:name="_GoBack"/>
            <w:bookmarkEnd w:id="0"/>
            <w:r>
              <w:rPr>
                <w:rFonts w:hint="eastAsia" w:ascii="宋体" w:hAnsi="宋体" w:eastAsia="宋体" w:cs="宋体"/>
                <w:i w:val="0"/>
                <w:iCs w:val="0"/>
                <w:color w:val="000000"/>
                <w:kern w:val="0"/>
                <w:sz w:val="21"/>
                <w:szCs w:val="21"/>
                <w:u w:val="none"/>
                <w:lang w:val="en-US" w:eastAsia="zh-CN" w:bidi="ar"/>
              </w:rPr>
              <w:t>间进度表、工作程序和步骤、管理和协调方法等。</w:t>
            </w:r>
          </w:p>
        </w:tc>
        <w:tc>
          <w:tcPr>
            <w:tcW w:w="1156" w:type="dxa"/>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 xml:space="preserve">项目实施标准规范、实际操作性强，得 </w:t>
            </w:r>
            <w:r>
              <w:rPr>
                <w:rStyle w:val="24"/>
                <w:rFonts w:hint="eastAsia"/>
                <w:lang w:val="en-US" w:eastAsia="zh-CN" w:bidi="ar"/>
              </w:rPr>
              <w:t>20</w:t>
            </w:r>
            <w:r>
              <w:rPr>
                <w:rStyle w:val="24"/>
                <w:rFonts w:eastAsia="宋体"/>
                <w:lang w:val="en-US" w:eastAsia="zh-CN" w:bidi="ar"/>
              </w:rPr>
              <w:t xml:space="preserve"> </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 xml:space="preserve">项目实施符合规范、实际操作性一般，得 </w:t>
            </w:r>
            <w:r>
              <w:rPr>
                <w:rStyle w:val="24"/>
                <w:rFonts w:hint="eastAsia"/>
                <w:lang w:val="en-US" w:eastAsia="zh-CN" w:bidi="ar"/>
              </w:rPr>
              <w:t>15</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项目实施基本规范、实际操作性弱，得 </w:t>
            </w:r>
            <w:r>
              <w:rPr>
                <w:rStyle w:val="25"/>
                <w:rFonts w:hint="eastAsia"/>
                <w:lang w:val="en-US" w:eastAsia="zh-CN" w:bidi="ar"/>
              </w:rPr>
              <w:t>7</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Fonts w:hint="eastAsia" w:ascii="Calibri" w:hAnsi="Calibri" w:cs="Calibri"/>
                <w:i w:val="0"/>
                <w:iCs w:val="0"/>
                <w:color w:val="000000"/>
                <w:kern w:val="0"/>
                <w:sz w:val="21"/>
                <w:szCs w:val="21"/>
                <w:u w:val="none"/>
                <w:lang w:val="en-US" w:eastAsia="zh-CN" w:bidi="ar"/>
              </w:rPr>
              <w:t>完全不符合或</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1156" w:type="dxa"/>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184" w:type="dxa"/>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6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1"/>
                <w:numId w:val="0"/>
              </w:numPr>
              <w:suppressLineNumbers w:val="0"/>
              <w:jc w:val="both"/>
              <w:textAlignment w:val="center"/>
              <w:rPr>
                <w:rFonts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ascii="宋体" w:hAnsi="宋体" w:eastAsia="宋体" w:cs="宋体"/>
                <w:color w:val="000000"/>
                <w:kern w:val="0"/>
                <w:sz w:val="20"/>
                <w:szCs w:val="20"/>
                <w:lang w:val="en-US" w:eastAsia="zh-CN" w:bidi="ar"/>
              </w:rPr>
              <w:t>投标人项目团队成员</w:t>
            </w:r>
            <w:r>
              <w:rPr>
                <w:rFonts w:hint="eastAsia" w:ascii="宋体" w:hAnsi="宋体" w:cs="宋体"/>
                <w:color w:val="000000"/>
                <w:kern w:val="0"/>
                <w:sz w:val="20"/>
                <w:szCs w:val="20"/>
                <w:lang w:val="en-US" w:eastAsia="zh-CN" w:bidi="ar"/>
              </w:rPr>
              <w:t>具</w:t>
            </w:r>
            <w:r>
              <w:rPr>
                <w:rFonts w:ascii="宋体" w:hAnsi="宋体" w:eastAsia="宋体" w:cs="宋体"/>
                <w:color w:val="000000"/>
                <w:kern w:val="0"/>
                <w:sz w:val="20"/>
                <w:szCs w:val="20"/>
                <w:lang w:val="en-US" w:eastAsia="zh-CN" w:bidi="ar"/>
              </w:rPr>
              <w:t>有PMP证书，得2分；</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2、投标人项目团队成员具有高级信创规划管理师证书，得2分</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color w:val="000000"/>
                <w:kern w:val="0"/>
                <w:sz w:val="20"/>
                <w:szCs w:val="20"/>
                <w:lang w:val="en-US" w:eastAsia="zh-CN" w:bidi="ar"/>
              </w:rPr>
              <w:t>3、投标人项目团队成员具有</w:t>
            </w:r>
            <w:r>
              <w:rPr>
                <w:rFonts w:ascii="宋体" w:hAnsi="宋体" w:eastAsia="宋体" w:cs="宋体"/>
                <w:color w:val="000000"/>
                <w:kern w:val="0"/>
                <w:sz w:val="20"/>
                <w:szCs w:val="20"/>
                <w:lang w:val="en-US" w:eastAsia="zh-CN" w:bidi="ar"/>
              </w:rPr>
              <w:t>注册营养师（或注册营养技师）</w:t>
            </w:r>
            <w:r>
              <w:rPr>
                <w:rFonts w:hint="eastAsia" w:ascii="宋体" w:hAnsi="宋体" w:cs="宋体"/>
                <w:color w:val="000000"/>
                <w:kern w:val="0"/>
                <w:sz w:val="20"/>
                <w:szCs w:val="20"/>
                <w:lang w:val="en-US" w:eastAsia="zh-CN" w:bidi="ar"/>
              </w:rPr>
              <w:t>证书</w:t>
            </w:r>
            <w:r>
              <w:rPr>
                <w:rFonts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每个成员得1分，最高</w:t>
            </w:r>
            <w:r>
              <w:rPr>
                <w:rFonts w:ascii="宋体" w:hAnsi="宋体" w:eastAsia="宋体" w:cs="宋体"/>
                <w:color w:val="000000"/>
                <w:kern w:val="0"/>
                <w:sz w:val="20"/>
                <w:szCs w:val="20"/>
                <w:lang w:val="en-US" w:eastAsia="zh-CN" w:bidi="ar"/>
              </w:rPr>
              <w:t>得3分。</w:t>
            </w:r>
            <w:r>
              <w:rPr>
                <w:rFonts w:ascii="宋体" w:hAnsi="宋体" w:eastAsia="宋体" w:cs="宋体"/>
                <w:color w:val="000000"/>
                <w:kern w:val="0"/>
                <w:sz w:val="20"/>
                <w:szCs w:val="20"/>
                <w:lang w:val="en-US" w:eastAsia="zh-CN" w:bidi="ar"/>
              </w:rPr>
              <w:br w:type="textWrapping"/>
            </w:r>
            <w:r>
              <w:rPr>
                <w:rFonts w:ascii="宋体" w:hAnsi="宋体" w:eastAsia="宋体" w:cs="宋体"/>
                <w:color w:val="000000"/>
                <w:kern w:val="0"/>
                <w:sz w:val="20"/>
                <w:szCs w:val="20"/>
                <w:lang w:val="en-US" w:eastAsia="zh-CN" w:bidi="ar"/>
              </w:rPr>
              <w:t>（提供人员近三个月中任意一个月由投标人缴纳社保的证明。）</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84" w:type="dxa"/>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培训计划</w:t>
            </w:r>
          </w:p>
        </w:tc>
        <w:tc>
          <w:tcPr>
            <w:tcW w:w="6182"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人培训计划的科学性、合理性和可操作性，包括对采购人的管理人员、操作人员及维护人员进行培训等承诺情况等内容。</w:t>
            </w:r>
          </w:p>
        </w:tc>
        <w:tc>
          <w:tcPr>
            <w:tcW w:w="1156" w:type="dxa"/>
            <w:vMerge w:val="restart"/>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项目培训计划好、可操作性强，得</w:t>
            </w:r>
            <w:r>
              <w:rPr>
                <w:rStyle w:val="24"/>
                <w:rFonts w:hint="eastAsia"/>
                <w:lang w:val="en-US" w:eastAsia="zh-CN" w:bidi="ar"/>
              </w:rPr>
              <w:t>10</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项目培训计划较好、实际操作性一般，得</w:t>
            </w:r>
            <w:r>
              <w:rPr>
                <w:rStyle w:val="24"/>
                <w:rFonts w:hint="eastAsia"/>
                <w:lang w:val="en-US" w:eastAsia="zh-CN" w:bidi="ar"/>
              </w:rPr>
              <w:t>7</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项目培训计划不完善、实际操作性弱，得 </w:t>
            </w:r>
            <w:r>
              <w:rPr>
                <w:rStyle w:val="24"/>
                <w:rFonts w:hint="eastAsia"/>
                <w:lang w:val="en-US" w:eastAsia="zh-CN" w:bidi="ar"/>
              </w:rPr>
              <w:t>5</w:t>
            </w:r>
            <w:r>
              <w:rPr>
                <w:rStyle w:val="25"/>
                <w:lang w:val="en-US" w:eastAsia="zh-CN" w:bidi="ar"/>
              </w:rPr>
              <w:t>分。</w:t>
            </w:r>
          </w:p>
        </w:tc>
        <w:tc>
          <w:tcPr>
            <w:tcW w:w="1156"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4" w:type="dxa"/>
            <w:vMerge w:val="continue"/>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82"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1156" w:type="dxa"/>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6182"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报价人</w:t>
            </w:r>
            <w:r>
              <w:rPr>
                <w:rFonts w:hint="eastAsia" w:ascii="宋体" w:hAnsi="宋体" w:eastAsia="宋体" w:cs="宋体"/>
                <w:i w:val="0"/>
                <w:iCs w:val="0"/>
                <w:color w:val="000000"/>
                <w:kern w:val="0"/>
                <w:sz w:val="21"/>
                <w:szCs w:val="21"/>
                <w:u w:val="none"/>
                <w:lang w:val="en-US" w:eastAsia="zh-CN" w:bidi="ar"/>
              </w:rPr>
              <w:t>售后服务的科学性、合理性、规范性和可操作性进行评分，包括具体的售后服务内容、服务规范、故障响应时间、响应方式等内容。</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售后服务承诺好、服务方式及内容完整，得</w:t>
            </w:r>
            <w:r>
              <w:rPr>
                <w:rStyle w:val="24"/>
                <w:rFonts w:hint="eastAsia"/>
                <w:lang w:val="en-US" w:eastAsia="zh-CN" w:bidi="ar"/>
              </w:rPr>
              <w:t>10</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 xml:space="preserve">售后服务承诺较好、服务方式及内容一般，得 </w:t>
            </w:r>
            <w:r>
              <w:rPr>
                <w:rStyle w:val="24"/>
                <w:rFonts w:hint="eastAsia"/>
                <w:lang w:val="en-US" w:eastAsia="zh-CN" w:bidi="ar"/>
              </w:rPr>
              <w:t>7</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售后服务承诺不完整、服务方式及内容单一得 </w:t>
            </w:r>
            <w:r>
              <w:rPr>
                <w:rStyle w:val="24"/>
                <w:rFonts w:hint="eastAsia"/>
                <w:lang w:val="en-US" w:eastAsia="zh-CN" w:bidi="ar"/>
              </w:rPr>
              <w:t>5</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1156"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A82539C"/>
    <w:rsid w:val="0BB32796"/>
    <w:rsid w:val="0E1F17A0"/>
    <w:rsid w:val="106A58B6"/>
    <w:rsid w:val="14E21052"/>
    <w:rsid w:val="194C18CF"/>
    <w:rsid w:val="1DD25D93"/>
    <w:rsid w:val="217C6B87"/>
    <w:rsid w:val="218439FB"/>
    <w:rsid w:val="231A61AF"/>
    <w:rsid w:val="28A01DEF"/>
    <w:rsid w:val="2CBC5291"/>
    <w:rsid w:val="31F14A27"/>
    <w:rsid w:val="36783969"/>
    <w:rsid w:val="38316CA8"/>
    <w:rsid w:val="3D4A346B"/>
    <w:rsid w:val="40B6380F"/>
    <w:rsid w:val="42C64707"/>
    <w:rsid w:val="42C91868"/>
    <w:rsid w:val="44444E8A"/>
    <w:rsid w:val="46177C2A"/>
    <w:rsid w:val="493F0316"/>
    <w:rsid w:val="4A673806"/>
    <w:rsid w:val="4D7A37A4"/>
    <w:rsid w:val="55AE4FFD"/>
    <w:rsid w:val="58196B96"/>
    <w:rsid w:val="5A9C7387"/>
    <w:rsid w:val="5B7A775E"/>
    <w:rsid w:val="5C6E4D42"/>
    <w:rsid w:val="5F7A4DB3"/>
    <w:rsid w:val="603D7C45"/>
    <w:rsid w:val="611E2EDC"/>
    <w:rsid w:val="61D45648"/>
    <w:rsid w:val="6B571220"/>
    <w:rsid w:val="6C271F0C"/>
    <w:rsid w:val="6DBC462A"/>
    <w:rsid w:val="6DD662A4"/>
    <w:rsid w:val="6F4E6291"/>
    <w:rsid w:val="6FC32419"/>
    <w:rsid w:val="71340383"/>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Normal (Web)"/>
    <w:basedOn w:val="1"/>
    <w:qFormat/>
    <w:uiPriority w:val="0"/>
    <w:rPr>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styleId="22">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3">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4">
    <w:name w:val="font21"/>
    <w:basedOn w:val="20"/>
    <w:qFormat/>
    <w:uiPriority w:val="0"/>
    <w:rPr>
      <w:rFonts w:hint="default" w:ascii="Calibri" w:hAnsi="Calibri" w:cs="Calibri"/>
      <w:color w:val="000000"/>
      <w:sz w:val="21"/>
      <w:szCs w:val="21"/>
      <w:u w:val="none"/>
    </w:rPr>
  </w:style>
  <w:style w:type="character" w:customStyle="1" w:styleId="25">
    <w:name w:val="font11"/>
    <w:basedOn w:val="20"/>
    <w:qFormat/>
    <w:uiPriority w:val="0"/>
    <w:rPr>
      <w:rFonts w:hint="eastAsia" w:ascii="宋体" w:hAnsi="宋体" w:eastAsia="宋体" w:cs="宋体"/>
      <w:color w:val="000000"/>
      <w:sz w:val="21"/>
      <w:szCs w:val="21"/>
      <w:u w:val="none"/>
    </w:rPr>
  </w:style>
  <w:style w:type="character" w:customStyle="1" w:styleId="26">
    <w:name w:val="font5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8705</Words>
  <Characters>8887</Characters>
  <Lines>0</Lines>
  <Paragraphs>0</Paragraphs>
  <TotalTime>55</TotalTime>
  <ScaleCrop>false</ScaleCrop>
  <LinksUpToDate>false</LinksUpToDate>
  <CharactersWithSpaces>8899</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2025-10-10T03:18:51Z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9EDA70A853244CFE97067993C259C220</vt:lpwstr>
  </property>
  <property fmtid="{D5CDD505-2E9C-101B-9397-08002B2CF9AE}" pid="4" name="KSOTemplateDocerSaveRecord">
    <vt:lpwstr>eyJoZGlkIjoiMDNiOGE5ZjZiM2ZlMDcwYWE2ZmMzNGQwYTc3MTIwYTkiLCJ1c2VySWQiOiIzNjQyNjE2MTIifQ==</vt:lpwstr>
  </property>
</Properties>
</file>