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bookmarkStart w:id="10" w:name="_GoBack"/>
      <w:bookmarkEnd w:id="10"/>
      <w:r>
        <w:rPr>
          <w:rFonts w:hint="eastAsia" w:ascii="宋体" w:hAnsi="宋体" w:eastAsia="宋体" w:cs="宋体"/>
          <w:sz w:val="32"/>
          <w:szCs w:val="32"/>
        </w:rPr>
        <w:t>附件</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pPr>
        <w:pStyle w:val="2"/>
        <w:numPr>
          <w:ilvl w:val="0"/>
          <w:numId w:val="0"/>
        </w:numPr>
        <w:bidi w:val="0"/>
        <w:ind w:leftChars="0"/>
        <w:jc w:val="center"/>
        <w:rPr>
          <w:rFonts w:hint="eastAsia" w:ascii="宋体" w:hAnsi="宋体" w:eastAsia="宋体" w:cs="宋体"/>
          <w:sz w:val="32"/>
          <w:szCs w:val="32"/>
          <w:lang w:val="en-US" w:eastAsia="zh-CN"/>
        </w:rPr>
      </w:pPr>
      <w:bookmarkStart w:id="0" w:name="_Toc29522"/>
      <w:r>
        <w:rPr>
          <w:rFonts w:hint="eastAsia" w:ascii="宋体" w:hAnsi="宋体" w:eastAsia="宋体" w:cs="宋体"/>
          <w:sz w:val="32"/>
          <w:szCs w:val="32"/>
          <w:lang w:val="en-US" w:eastAsia="zh-CN"/>
        </w:rPr>
        <w:t>北京市垂杨柳医院</w:t>
      </w:r>
      <w:r>
        <w:rPr>
          <w:rFonts w:hint="eastAsia" w:cs="宋体"/>
          <w:sz w:val="32"/>
          <w:szCs w:val="32"/>
          <w:lang w:val="en-US" w:eastAsia="zh-CN"/>
        </w:rPr>
        <w:t>财务综合服务</w:t>
      </w:r>
      <w:r>
        <w:rPr>
          <w:rFonts w:hint="eastAsia" w:ascii="宋体" w:hAnsi="宋体" w:eastAsia="宋体" w:cs="宋体"/>
          <w:sz w:val="32"/>
          <w:szCs w:val="32"/>
          <w:lang w:val="en-US" w:eastAsia="zh-CN"/>
        </w:rPr>
        <w:t>平台升级项目比选方案</w:t>
      </w:r>
      <w:bookmarkEnd w:id="0"/>
    </w:p>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目 录</w:t>
      </w:r>
    </w:p>
    <w:p>
      <w:pPr>
        <w:pStyle w:val="18"/>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TOC \o "1-3" \h \u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_Toc11757 </w:instrText>
      </w:r>
      <w:r>
        <w:rPr>
          <w:rFonts w:hint="eastAsia" w:ascii="宋体" w:hAnsi="宋体" w:eastAsia="宋体" w:cs="宋体"/>
          <w:lang w:val="en-US" w:eastAsia="zh-CN"/>
        </w:rPr>
        <w:fldChar w:fldCharType="separate"/>
      </w:r>
      <w:r>
        <w:rPr>
          <w:rFonts w:hint="eastAsia" w:ascii="宋体" w:hAnsi="宋体" w:eastAsia="宋体" w:cs="宋体"/>
        </w:rPr>
        <w:t xml:space="preserve">一、 </w:t>
      </w:r>
      <w:r>
        <w:rPr>
          <w:rFonts w:hint="eastAsia" w:ascii="宋体" w:hAnsi="宋体" w:eastAsia="宋体" w:cs="宋体"/>
          <w:lang w:val="en-US" w:eastAsia="zh-CN"/>
        </w:rPr>
        <w:t>项目概述</w:t>
      </w:r>
      <w:r>
        <w:tab/>
      </w:r>
      <w:r>
        <w:fldChar w:fldCharType="begin"/>
      </w:r>
      <w:r>
        <w:instrText xml:space="preserve"> PAGEREF _Toc11757 \h </w:instrText>
      </w:r>
      <w:r>
        <w:fldChar w:fldCharType="separate"/>
      </w:r>
      <w:r>
        <w:t>1</w:t>
      </w:r>
      <w:r>
        <w:fldChar w:fldCharType="end"/>
      </w:r>
      <w:r>
        <w:rPr>
          <w:rFonts w:hint="eastAsia" w:ascii="宋体" w:hAnsi="宋体" w:eastAsia="宋体" w:cs="宋体"/>
          <w:lang w:val="en-US" w:eastAsia="zh-CN"/>
        </w:rPr>
        <w:fldChar w:fldCharType="end"/>
      </w:r>
    </w:p>
    <w:p>
      <w:pPr>
        <w:pStyle w:val="18"/>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_Toc20087 </w:instrText>
      </w:r>
      <w:r>
        <w:rPr>
          <w:rFonts w:hint="eastAsia" w:ascii="宋体" w:hAnsi="宋体" w:eastAsia="宋体" w:cs="宋体"/>
          <w:lang w:val="en-US" w:eastAsia="zh-CN"/>
        </w:rPr>
        <w:fldChar w:fldCharType="separate"/>
      </w:r>
      <w:r>
        <w:rPr>
          <w:rFonts w:hint="eastAsia" w:ascii="宋体" w:hAnsi="宋体" w:eastAsia="宋体" w:cs="宋体"/>
        </w:rPr>
        <w:t xml:space="preserve">二、 </w:t>
      </w:r>
      <w:r>
        <w:rPr>
          <w:rFonts w:hint="eastAsia" w:ascii="宋体" w:hAnsi="宋体" w:eastAsia="宋体" w:cs="宋体"/>
          <w:lang w:val="en-US" w:eastAsia="zh-CN"/>
        </w:rPr>
        <w:t>项目</w:t>
      </w:r>
      <w:r>
        <w:rPr>
          <w:rFonts w:hint="eastAsia" w:ascii="宋体" w:hAnsi="宋体" w:eastAsia="宋体" w:cs="宋体"/>
        </w:rPr>
        <w:t>内容</w:t>
      </w:r>
      <w:r>
        <w:tab/>
      </w:r>
      <w:r>
        <w:fldChar w:fldCharType="begin"/>
      </w:r>
      <w:r>
        <w:instrText xml:space="preserve"> PAGEREF _Toc20087 \h </w:instrText>
      </w:r>
      <w:r>
        <w:fldChar w:fldCharType="separate"/>
      </w:r>
      <w:r>
        <w:t>1</w:t>
      </w:r>
      <w:r>
        <w:fldChar w:fldCharType="end"/>
      </w:r>
      <w:r>
        <w:rPr>
          <w:rFonts w:hint="eastAsia" w:ascii="宋体" w:hAnsi="宋体" w:eastAsia="宋体" w:cs="宋体"/>
          <w:lang w:val="en-US" w:eastAsia="zh-CN"/>
        </w:rPr>
        <w:fldChar w:fldCharType="end"/>
      </w:r>
    </w:p>
    <w:p>
      <w:pPr>
        <w:pStyle w:val="18"/>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_Toc8827 </w:instrText>
      </w:r>
      <w:r>
        <w:rPr>
          <w:rFonts w:hint="eastAsia" w:ascii="宋体" w:hAnsi="宋体" w:eastAsia="宋体" w:cs="宋体"/>
          <w:lang w:val="en-US" w:eastAsia="zh-CN"/>
        </w:rPr>
        <w:fldChar w:fldCharType="separate"/>
      </w:r>
      <w:r>
        <w:rPr>
          <w:rFonts w:hint="eastAsia" w:ascii="宋体" w:hAnsi="宋体" w:eastAsia="宋体" w:cs="宋体"/>
        </w:rPr>
        <w:t>三、 技术要求</w:t>
      </w:r>
      <w:r>
        <w:tab/>
      </w:r>
      <w:r>
        <w:fldChar w:fldCharType="begin"/>
      </w:r>
      <w:r>
        <w:instrText xml:space="preserve"> PAGEREF _Toc8827 \h </w:instrText>
      </w:r>
      <w:r>
        <w:fldChar w:fldCharType="separate"/>
      </w:r>
      <w:r>
        <w:t>2</w:t>
      </w:r>
      <w:r>
        <w:fldChar w:fldCharType="end"/>
      </w:r>
      <w:r>
        <w:rPr>
          <w:rFonts w:hint="eastAsia" w:ascii="宋体" w:hAnsi="宋体" w:eastAsia="宋体" w:cs="宋体"/>
          <w:lang w:val="en-US" w:eastAsia="zh-CN"/>
        </w:rPr>
        <w:fldChar w:fldCharType="end"/>
      </w:r>
    </w:p>
    <w:p>
      <w:pPr>
        <w:pStyle w:val="18"/>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_Toc20857 </w:instrText>
      </w:r>
      <w:r>
        <w:rPr>
          <w:rFonts w:hint="eastAsia" w:ascii="宋体" w:hAnsi="宋体" w:eastAsia="宋体" w:cs="宋体"/>
          <w:lang w:val="en-US" w:eastAsia="zh-CN"/>
        </w:rPr>
        <w:fldChar w:fldCharType="separate"/>
      </w:r>
      <w:r>
        <w:rPr>
          <w:rFonts w:hint="eastAsia" w:ascii="宋体" w:hAnsi="宋体" w:eastAsia="宋体" w:cs="宋体"/>
        </w:rPr>
        <w:t xml:space="preserve">四、 </w:t>
      </w:r>
      <w:r>
        <w:rPr>
          <w:rFonts w:hint="eastAsia" w:ascii="宋体" w:hAnsi="宋体" w:eastAsia="宋体" w:cs="宋体"/>
          <w:lang w:val="en-US" w:eastAsia="zh-CN"/>
        </w:rPr>
        <w:t>商务条款</w:t>
      </w:r>
      <w:r>
        <w:tab/>
      </w:r>
      <w:r>
        <w:fldChar w:fldCharType="begin"/>
      </w:r>
      <w:r>
        <w:instrText xml:space="preserve"> PAGEREF _Toc20857 \h </w:instrText>
      </w:r>
      <w:r>
        <w:fldChar w:fldCharType="separate"/>
      </w:r>
      <w:r>
        <w:t>13</w:t>
      </w:r>
      <w:r>
        <w:fldChar w:fldCharType="end"/>
      </w:r>
      <w:r>
        <w:rPr>
          <w:rFonts w:hint="eastAsia" w:ascii="宋体" w:hAnsi="宋体" w:eastAsia="宋体" w:cs="宋体"/>
          <w:lang w:val="en-US" w:eastAsia="zh-CN"/>
        </w:rPr>
        <w:fldChar w:fldCharType="end"/>
      </w:r>
    </w:p>
    <w:p>
      <w:pPr>
        <w:pStyle w:val="18"/>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_Toc8083 </w:instrText>
      </w:r>
      <w:r>
        <w:rPr>
          <w:rFonts w:hint="eastAsia" w:ascii="宋体" w:hAnsi="宋体" w:eastAsia="宋体" w:cs="宋体"/>
          <w:lang w:val="en-US" w:eastAsia="zh-CN"/>
        </w:rPr>
        <w:fldChar w:fldCharType="separate"/>
      </w:r>
      <w:r>
        <w:rPr>
          <w:rFonts w:hint="eastAsia" w:ascii="宋体" w:hAnsi="宋体" w:eastAsia="宋体" w:cs="宋体"/>
        </w:rPr>
        <w:t>五、 评分标准</w:t>
      </w:r>
      <w:r>
        <w:tab/>
      </w:r>
      <w:r>
        <w:fldChar w:fldCharType="begin"/>
      </w:r>
      <w:r>
        <w:instrText xml:space="preserve"> PAGEREF _Toc8083 \h </w:instrText>
      </w:r>
      <w:r>
        <w:fldChar w:fldCharType="separate"/>
      </w:r>
      <w:r>
        <w:t>13</w:t>
      </w:r>
      <w:r>
        <w:fldChar w:fldCharType="end"/>
      </w:r>
      <w:r>
        <w:rPr>
          <w:rFonts w:hint="eastAsia" w:ascii="宋体" w:hAnsi="宋体" w:eastAsia="宋体" w:cs="宋体"/>
          <w:lang w:val="en-US" w:eastAsia="zh-CN"/>
        </w:rPr>
        <w:fldChar w:fldCharType="end"/>
      </w:r>
    </w:p>
    <w:p>
      <w:pPr>
        <w:pStyle w:val="19"/>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_Toc20345 </w:instrText>
      </w:r>
      <w:r>
        <w:rPr>
          <w:rFonts w:hint="eastAsia" w:ascii="宋体" w:hAnsi="宋体" w:eastAsia="宋体" w:cs="宋体"/>
          <w:lang w:val="en-US" w:eastAsia="zh-CN"/>
        </w:rPr>
        <w:fldChar w:fldCharType="separate"/>
      </w:r>
      <w:r>
        <w:rPr>
          <w:rFonts w:hint="eastAsia" w:ascii="宋体" w:hAnsi="宋体" w:eastAsia="宋体" w:cs="宋体"/>
        </w:rPr>
        <w:t>（一） 评标方法</w:t>
      </w:r>
      <w:r>
        <w:tab/>
      </w:r>
      <w:r>
        <w:fldChar w:fldCharType="begin"/>
      </w:r>
      <w:r>
        <w:instrText xml:space="preserve"> PAGEREF _Toc20345 \h </w:instrText>
      </w:r>
      <w:r>
        <w:fldChar w:fldCharType="separate"/>
      </w:r>
      <w:r>
        <w:t>13</w:t>
      </w:r>
      <w:r>
        <w:fldChar w:fldCharType="end"/>
      </w:r>
      <w:r>
        <w:rPr>
          <w:rFonts w:hint="eastAsia" w:ascii="宋体" w:hAnsi="宋体" w:eastAsia="宋体" w:cs="宋体"/>
          <w:lang w:val="en-US" w:eastAsia="zh-CN"/>
        </w:rPr>
        <w:fldChar w:fldCharType="end"/>
      </w:r>
    </w:p>
    <w:p>
      <w:pPr>
        <w:pStyle w:val="19"/>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_Toc11995 </w:instrText>
      </w:r>
      <w:r>
        <w:rPr>
          <w:rFonts w:hint="eastAsia" w:ascii="宋体" w:hAnsi="宋体" w:eastAsia="宋体" w:cs="宋体"/>
          <w:lang w:val="en-US" w:eastAsia="zh-CN"/>
        </w:rPr>
        <w:fldChar w:fldCharType="separate"/>
      </w:r>
      <w:r>
        <w:rPr>
          <w:rFonts w:hint="eastAsia" w:ascii="宋体" w:hAnsi="宋体" w:eastAsia="宋体" w:cs="宋体"/>
        </w:rPr>
        <w:t>（二） 评分标准</w:t>
      </w:r>
      <w:r>
        <w:tab/>
      </w:r>
      <w:r>
        <w:fldChar w:fldCharType="begin"/>
      </w:r>
      <w:r>
        <w:instrText xml:space="preserve"> PAGEREF _Toc11995 \h </w:instrText>
      </w:r>
      <w:r>
        <w:fldChar w:fldCharType="separate"/>
      </w:r>
      <w:r>
        <w:t>13</w:t>
      </w:r>
      <w:r>
        <w:fldChar w:fldCharType="end"/>
      </w:r>
      <w:r>
        <w:rPr>
          <w:rFonts w:hint="eastAsia" w:ascii="宋体" w:hAnsi="宋体" w:eastAsia="宋体" w:cs="宋体"/>
          <w:lang w:val="en-US" w:eastAsia="zh-CN"/>
        </w:rPr>
        <w:fldChar w:fldCharType="end"/>
      </w:r>
    </w:p>
    <w:p>
      <w:pPr>
        <w:pStyle w:val="15"/>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_Toc19046 </w:instrText>
      </w:r>
      <w:r>
        <w:rPr>
          <w:rFonts w:hint="eastAsia" w:ascii="宋体" w:hAnsi="宋体" w:eastAsia="宋体" w:cs="宋体"/>
          <w:lang w:val="en-US" w:eastAsia="zh-CN"/>
        </w:rPr>
        <w:fldChar w:fldCharType="separate"/>
      </w:r>
      <w:r>
        <w:rPr>
          <w:rFonts w:hint="eastAsia" w:ascii="宋体" w:hAnsi="宋体" w:eastAsia="宋体" w:cs="宋体"/>
        </w:rPr>
        <w:t>1． 价格分</w:t>
      </w:r>
      <w:r>
        <w:rPr>
          <w:rFonts w:hint="eastAsia" w:ascii="宋体" w:hAnsi="宋体" w:eastAsia="宋体" w:cs="宋体"/>
          <w:lang w:val="en-US" w:eastAsia="zh-CN"/>
        </w:rPr>
        <w:t>1</w:t>
      </w:r>
      <w:r>
        <w:rPr>
          <w:rFonts w:hint="eastAsia" w:ascii="宋体" w:hAnsi="宋体" w:eastAsia="宋体" w:cs="宋体"/>
        </w:rPr>
        <w:t>0分</w:t>
      </w:r>
      <w:r>
        <w:tab/>
      </w:r>
      <w:r>
        <w:fldChar w:fldCharType="begin"/>
      </w:r>
      <w:r>
        <w:instrText xml:space="preserve"> PAGEREF _Toc19046 \h </w:instrText>
      </w:r>
      <w:r>
        <w:fldChar w:fldCharType="separate"/>
      </w:r>
      <w:r>
        <w:t>13</w:t>
      </w:r>
      <w:r>
        <w:fldChar w:fldCharType="end"/>
      </w:r>
      <w:r>
        <w:rPr>
          <w:rFonts w:hint="eastAsia" w:ascii="宋体" w:hAnsi="宋体" w:eastAsia="宋体" w:cs="宋体"/>
          <w:lang w:val="en-US" w:eastAsia="zh-CN"/>
        </w:rPr>
        <w:fldChar w:fldCharType="end"/>
      </w:r>
    </w:p>
    <w:p>
      <w:pPr>
        <w:pStyle w:val="15"/>
        <w:tabs>
          <w:tab w:val="right" w:leader="dot" w:pos="8306"/>
        </w:tabs>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_Toc30176 </w:instrText>
      </w:r>
      <w:r>
        <w:rPr>
          <w:rFonts w:hint="eastAsia" w:ascii="宋体" w:hAnsi="宋体" w:eastAsia="宋体" w:cs="宋体"/>
          <w:lang w:val="en-US" w:eastAsia="zh-CN"/>
        </w:rPr>
        <w:fldChar w:fldCharType="separate"/>
      </w:r>
      <w:r>
        <w:rPr>
          <w:rFonts w:hint="eastAsia" w:ascii="宋体" w:hAnsi="宋体" w:eastAsia="宋体" w:cs="宋体"/>
        </w:rPr>
        <w:t>2． 商务</w:t>
      </w:r>
      <w:r>
        <w:rPr>
          <w:rFonts w:hint="eastAsia" w:ascii="宋体" w:hAnsi="宋体" w:eastAsia="宋体" w:cs="宋体"/>
          <w:lang w:val="en-US" w:eastAsia="zh-CN"/>
        </w:rPr>
        <w:t>技术</w:t>
      </w:r>
      <w:r>
        <w:rPr>
          <w:rFonts w:hint="eastAsia" w:ascii="宋体" w:hAnsi="宋体" w:eastAsia="宋体" w:cs="宋体"/>
        </w:rPr>
        <w:t>分</w:t>
      </w:r>
      <w:r>
        <w:rPr>
          <w:rFonts w:hint="eastAsia" w:ascii="宋体" w:hAnsi="宋体" w:eastAsia="宋体" w:cs="宋体"/>
          <w:lang w:val="en-US" w:eastAsia="zh-CN"/>
        </w:rPr>
        <w:t>9</w:t>
      </w:r>
      <w:r>
        <w:rPr>
          <w:rFonts w:hint="eastAsia" w:ascii="宋体" w:hAnsi="宋体" w:eastAsia="宋体" w:cs="宋体"/>
        </w:rPr>
        <w:t>0分</w:t>
      </w:r>
      <w:r>
        <w:tab/>
      </w:r>
      <w:r>
        <w:fldChar w:fldCharType="begin"/>
      </w:r>
      <w:r>
        <w:instrText xml:space="preserve"> PAGEREF _Toc30176 \h </w:instrText>
      </w:r>
      <w:r>
        <w:fldChar w:fldCharType="separate"/>
      </w:r>
      <w:r>
        <w:t>14</w:t>
      </w:r>
      <w:r>
        <w:fldChar w:fldCharType="end"/>
      </w:r>
      <w:r>
        <w:rPr>
          <w:rFonts w:hint="eastAsia" w:ascii="宋体" w:hAnsi="宋体" w:eastAsia="宋体" w:cs="宋体"/>
          <w:lang w:val="en-US" w:eastAsia="zh-CN"/>
        </w:rPr>
        <w:fldChar w:fldCharType="end"/>
      </w:r>
    </w:p>
    <w:p>
      <w:pPr>
        <w:rPr>
          <w:rFonts w:hint="eastAsia" w:ascii="宋体" w:hAnsi="宋体" w:eastAsia="宋体" w:cs="宋体"/>
          <w:lang w:val="en-US" w:eastAsia="zh-CN"/>
        </w:rPr>
      </w:pPr>
      <w:r>
        <w:rPr>
          <w:rFonts w:hint="eastAsia" w:ascii="宋体" w:hAnsi="宋体" w:eastAsia="宋体" w:cs="宋体"/>
          <w:lang w:val="en-US" w:eastAsia="zh-CN"/>
        </w:rPr>
        <w:fldChar w:fldCharType="end"/>
      </w:r>
    </w:p>
    <w:p>
      <w:pPr>
        <w:pStyle w:val="2"/>
        <w:bidi w:val="0"/>
        <w:ind w:left="0" w:leftChars="0" w:firstLine="0" w:firstLineChars="0"/>
        <w:rPr>
          <w:rFonts w:hint="eastAsia" w:ascii="宋体" w:hAnsi="宋体" w:eastAsia="宋体" w:cs="宋体"/>
        </w:rPr>
        <w:sectPr>
          <w:pgSz w:w="11906" w:h="16838"/>
          <w:pgMar w:top="1440" w:right="1800" w:bottom="1440" w:left="1800" w:header="851" w:footer="992" w:gutter="0"/>
          <w:cols w:space="425" w:num="1"/>
          <w:docGrid w:type="lines" w:linePitch="312" w:charSpace="0"/>
        </w:sectPr>
      </w:pPr>
      <w:bookmarkStart w:id="1" w:name="_Toc11757"/>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项目概述</w:t>
      </w:r>
      <w:bookmarkEnd w:id="1"/>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2"/>
          <w:sz w:val="24"/>
          <w:szCs w:val="28"/>
          <w:lang w:bidi="ar-SA"/>
        </w:rPr>
      </w:pPr>
      <w:r>
        <w:rPr>
          <w:rFonts w:hint="eastAsia" w:ascii="宋体" w:hAnsi="宋体" w:eastAsia="宋体" w:cs="宋体"/>
          <w:kern w:val="2"/>
          <w:sz w:val="24"/>
          <w:szCs w:val="28"/>
          <w:lang w:bidi="ar-SA"/>
        </w:rPr>
        <w:t>2018年，清华大学附属垂杨柳医院正式启动</w:t>
      </w:r>
      <w:r>
        <w:rPr>
          <w:rFonts w:hint="eastAsia" w:ascii="宋体" w:hAnsi="宋体" w:cs="宋体"/>
          <w:kern w:val="2"/>
          <w:sz w:val="24"/>
          <w:szCs w:val="28"/>
          <w:lang w:val="en-US" w:eastAsia="zh-CN" w:bidi="ar-SA"/>
        </w:rPr>
        <w:t>财务综合服务</w:t>
      </w:r>
      <w:r>
        <w:rPr>
          <w:rFonts w:hint="eastAsia" w:ascii="宋体" w:hAnsi="宋体" w:eastAsia="宋体" w:cs="宋体"/>
          <w:kern w:val="2"/>
          <w:sz w:val="24"/>
          <w:szCs w:val="28"/>
          <w:lang w:val="en-US" w:eastAsia="zh-CN" w:bidi="ar-SA"/>
        </w:rPr>
        <w:t>平台</w:t>
      </w:r>
      <w:r>
        <w:rPr>
          <w:rFonts w:hint="eastAsia" w:ascii="宋体" w:hAnsi="宋体" w:eastAsia="宋体" w:cs="宋体"/>
          <w:kern w:val="2"/>
          <w:sz w:val="24"/>
          <w:szCs w:val="28"/>
          <w:lang w:bidi="ar-SA"/>
        </w:rPr>
        <w:t>项目建设。通过该项目的实施，</w:t>
      </w:r>
      <w:r>
        <w:rPr>
          <w:rFonts w:hint="eastAsia" w:ascii="宋体" w:hAnsi="宋体" w:eastAsia="宋体" w:cs="宋体"/>
          <w:kern w:val="2"/>
          <w:sz w:val="24"/>
          <w:szCs w:val="28"/>
          <w:lang w:val="en-US" w:eastAsia="zh-CN" w:bidi="ar-SA"/>
        </w:rPr>
        <w:t>把</w:t>
      </w:r>
      <w:r>
        <w:rPr>
          <w:rFonts w:hint="eastAsia" w:ascii="宋体" w:hAnsi="宋体" w:eastAsia="宋体" w:cs="宋体"/>
          <w:kern w:val="2"/>
          <w:sz w:val="24"/>
          <w:szCs w:val="28"/>
          <w:lang w:bidi="ar-SA"/>
        </w:rPr>
        <w:t>预算管理、网上报销、合同管理等相关业务整合到一个统一的平台上进行管理。依托现有的一体化系统，医院财务处实现了财务工作的规范化管理，基本满足了当时的信息化建设需求，达到了项目的预期建设效果。</w:t>
      </w:r>
    </w:p>
    <w:p>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szCs w:val="28"/>
          <w:lang w:eastAsia="zh-CN"/>
        </w:rPr>
      </w:pPr>
      <w:r>
        <w:rPr>
          <w:rFonts w:hint="eastAsia" w:ascii="宋体" w:hAnsi="宋体" w:eastAsia="宋体" w:cs="宋体"/>
          <w:kern w:val="2"/>
          <w:sz w:val="24"/>
          <w:szCs w:val="28"/>
          <w:lang w:bidi="ar-SA"/>
        </w:rPr>
        <w:t>然而，近两年来，随着财政相关政策以及公立医院高质量发展政策的持续推进，医院的发展模式发生了显著变化，从外延式发展转向内涵式发展，从注重收入增长转向注重成本管理，从粗放式管理转向精细化管理。为了适应这些变化，当前的财务信息化系统需要进一步完善，以满足日益增长的财务管理需求，并提升医院的财务服务水平。</w:t>
      </w:r>
    </w:p>
    <w:p>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36"/>
        </w:rPr>
      </w:pPr>
      <w:r>
        <w:rPr>
          <w:rFonts w:hint="eastAsia" w:ascii="宋体" w:hAnsi="宋体" w:eastAsia="宋体" w:cs="宋体"/>
          <w:sz w:val="24"/>
          <w:szCs w:val="28"/>
          <w:lang w:eastAsia="zh-Hans"/>
        </w:rPr>
        <w:t>为此，医院财务处提出需要基于现有的</w:t>
      </w:r>
      <w:r>
        <w:rPr>
          <w:rFonts w:hint="eastAsia" w:ascii="宋体" w:hAnsi="宋体" w:cs="宋体"/>
          <w:sz w:val="24"/>
          <w:szCs w:val="28"/>
          <w:lang w:val="en-US" w:eastAsia="zh-CN"/>
        </w:rPr>
        <w:t>财务综合服务</w:t>
      </w:r>
      <w:r>
        <w:rPr>
          <w:rFonts w:hint="eastAsia" w:ascii="宋体" w:hAnsi="宋体" w:eastAsia="宋体" w:cs="宋体"/>
          <w:sz w:val="24"/>
          <w:szCs w:val="28"/>
          <w:lang w:eastAsia="zh-Hans"/>
        </w:rPr>
        <w:t>平台进行应用扩展及升级改造，以满足更深层次的管理需求，对现有的财务管理工作从“信息化”向“</w:t>
      </w:r>
      <w:r>
        <w:rPr>
          <w:rFonts w:hint="eastAsia" w:ascii="宋体" w:hAnsi="宋体" w:eastAsia="宋体" w:cs="宋体"/>
          <w:sz w:val="24"/>
          <w:szCs w:val="28"/>
        </w:rPr>
        <w:t>数智化</w:t>
      </w:r>
      <w:r>
        <w:rPr>
          <w:rFonts w:hint="eastAsia" w:ascii="宋体" w:hAnsi="宋体" w:eastAsia="宋体" w:cs="宋体"/>
          <w:sz w:val="24"/>
          <w:szCs w:val="28"/>
          <w:lang w:eastAsia="zh-Hans"/>
        </w:rPr>
        <w:t>”提升，为医院加强医院控制管理提供有效的工具和灵活的数据支撑及决策支持，满足医院内部管理以及各项服务要求。</w:t>
      </w:r>
    </w:p>
    <w:p>
      <w:pPr>
        <w:pStyle w:val="2"/>
        <w:bidi w:val="0"/>
        <w:ind w:left="0" w:leftChars="0" w:firstLine="0" w:firstLineChars="0"/>
        <w:rPr>
          <w:rFonts w:hint="eastAsia" w:ascii="宋体" w:hAnsi="宋体" w:eastAsia="宋体" w:cs="宋体"/>
        </w:rPr>
      </w:pPr>
      <w:bookmarkStart w:id="2" w:name="_Toc20087"/>
      <w:r>
        <w:rPr>
          <w:rFonts w:hint="eastAsia" w:ascii="宋体" w:hAnsi="宋体" w:eastAsia="宋体" w:cs="宋体"/>
          <w:lang w:val="en-US" w:eastAsia="zh-CN"/>
        </w:rPr>
        <w:t>项目</w:t>
      </w:r>
      <w:r>
        <w:rPr>
          <w:rFonts w:hint="eastAsia" w:ascii="宋体" w:hAnsi="宋体" w:eastAsia="宋体" w:cs="宋体"/>
        </w:rPr>
        <w:t>内容</w:t>
      </w:r>
      <w:bookmarkEnd w:id="2"/>
    </w:p>
    <w:tbl>
      <w:tblPr>
        <w:tblStyle w:val="21"/>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38"/>
        <w:gridCol w:w="859"/>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rPr>
                <w:rFonts w:hint="eastAsia" w:ascii="宋体" w:hAnsi="宋体" w:eastAsia="宋体" w:cs="宋体"/>
              </w:rPr>
            </w:pPr>
            <w:r>
              <w:rPr>
                <w:rFonts w:hint="eastAsia" w:ascii="宋体" w:hAnsi="宋体" w:eastAsia="宋体" w:cs="宋体"/>
              </w:rPr>
              <w:t>序号</w:t>
            </w:r>
          </w:p>
        </w:tc>
        <w:tc>
          <w:tcPr>
            <w:tcW w:w="2838" w:type="dxa"/>
            <w:vAlign w:val="center"/>
          </w:tcPr>
          <w:p>
            <w:pPr>
              <w:bidi w:val="0"/>
              <w:jc w:val="center"/>
              <w:rPr>
                <w:rFonts w:hint="eastAsia" w:ascii="宋体" w:hAnsi="宋体" w:eastAsia="宋体" w:cs="宋体"/>
              </w:rPr>
            </w:pPr>
            <w:r>
              <w:rPr>
                <w:rFonts w:hint="eastAsia" w:ascii="宋体" w:hAnsi="宋体" w:eastAsia="宋体" w:cs="宋体"/>
              </w:rPr>
              <w:t>名称</w:t>
            </w:r>
          </w:p>
        </w:tc>
        <w:tc>
          <w:tcPr>
            <w:tcW w:w="859" w:type="dxa"/>
            <w:vAlign w:val="center"/>
          </w:tcPr>
          <w:p>
            <w:pPr>
              <w:bidi w:val="0"/>
              <w:jc w:val="center"/>
              <w:rPr>
                <w:rFonts w:hint="eastAsia" w:ascii="宋体" w:hAnsi="宋体" w:eastAsia="宋体" w:cs="宋体"/>
              </w:rPr>
            </w:pPr>
            <w:r>
              <w:rPr>
                <w:rFonts w:hint="eastAsia" w:ascii="宋体" w:hAnsi="宋体" w:eastAsia="宋体" w:cs="宋体"/>
              </w:rPr>
              <w:t>数量</w:t>
            </w:r>
          </w:p>
        </w:tc>
        <w:tc>
          <w:tcPr>
            <w:tcW w:w="4001" w:type="dxa"/>
            <w:vAlign w:val="center"/>
          </w:tcPr>
          <w:p>
            <w:pPr>
              <w:bidi w:val="0"/>
              <w:jc w:val="center"/>
              <w:rPr>
                <w:rFonts w:hint="eastAsia" w:ascii="宋体" w:hAnsi="宋体" w:eastAsia="宋体" w:cs="宋体"/>
                <w:lang w:val="en-US" w:eastAsia="zh-CN"/>
              </w:rPr>
            </w:pPr>
            <w:r>
              <w:rPr>
                <w:rFonts w:hint="eastAsia" w:ascii="宋体" w:hAnsi="宋体" w:eastAsia="宋体" w:cs="宋体"/>
              </w:rPr>
              <w:t>交</w:t>
            </w:r>
            <w:r>
              <w:rPr>
                <w:rFonts w:hint="eastAsia" w:ascii="宋体" w:hAnsi="宋体" w:cs="宋体"/>
                <w:lang w:val="en-US" w:eastAsia="zh-CN"/>
              </w:rPr>
              <w:t>付</w:t>
            </w:r>
            <w:r>
              <w:rPr>
                <w:rFonts w:hint="eastAsia" w:ascii="宋体" w:hAnsi="宋体" w:eastAsia="宋体" w:cs="宋体"/>
              </w:rPr>
              <w:t>期</w:t>
            </w:r>
            <w:r>
              <w:rPr>
                <w:rFonts w:hint="eastAsia" w:ascii="宋体" w:hAnsi="宋体" w:eastAsia="宋体" w:cs="宋体"/>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rPr>
                <w:rFonts w:hint="eastAsia" w:ascii="宋体" w:hAnsi="宋体" w:eastAsia="宋体" w:cs="宋体"/>
              </w:rPr>
            </w:pPr>
          </w:p>
        </w:tc>
        <w:tc>
          <w:tcPr>
            <w:tcW w:w="2838" w:type="dxa"/>
            <w:vAlign w:val="center"/>
          </w:tcPr>
          <w:p>
            <w:pPr>
              <w:bidi w:val="0"/>
              <w:jc w:val="center"/>
              <w:rPr>
                <w:rFonts w:hint="eastAsia" w:ascii="宋体" w:hAnsi="宋体" w:eastAsia="宋体" w:cs="宋体"/>
                <w:lang w:val="en-US"/>
              </w:rPr>
            </w:pPr>
            <w:r>
              <w:rPr>
                <w:rFonts w:hint="eastAsia" w:ascii="宋体" w:hAnsi="宋体" w:cs="宋体"/>
                <w:lang w:val="en-US" w:eastAsia="zh-CN"/>
              </w:rPr>
              <w:t>财务综合服务</w:t>
            </w:r>
            <w:r>
              <w:rPr>
                <w:rFonts w:hint="eastAsia" w:ascii="宋体" w:hAnsi="宋体" w:eastAsia="宋体" w:cs="宋体"/>
                <w:lang w:val="en-US" w:eastAsia="zh-CN"/>
              </w:rPr>
              <w:t>平台升级项目</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4001" w:type="dxa"/>
            <w:vAlign w:val="center"/>
          </w:tcPr>
          <w:p>
            <w:pPr>
              <w:bidi w:val="0"/>
              <w:jc w:val="left"/>
              <w:rPr>
                <w:rFonts w:hint="eastAsia" w:ascii="宋体" w:hAnsi="宋体" w:eastAsia="宋体" w:cs="宋体"/>
              </w:rPr>
            </w:pPr>
            <w:r>
              <w:rPr>
                <w:rFonts w:hint="eastAsia" w:ascii="宋体" w:hAnsi="宋体" w:eastAsia="宋体" w:cs="宋体"/>
                <w:lang w:val="en-US" w:eastAsia="zh-CN"/>
              </w:rPr>
              <w:t>交</w:t>
            </w:r>
            <w:r>
              <w:rPr>
                <w:rFonts w:hint="eastAsia" w:ascii="宋体" w:hAnsi="宋体" w:cs="宋体"/>
                <w:lang w:val="en-US" w:eastAsia="zh-CN"/>
              </w:rPr>
              <w:t>付</w:t>
            </w:r>
            <w:r>
              <w:rPr>
                <w:rFonts w:hint="eastAsia" w:ascii="宋体" w:hAnsi="宋体" w:eastAsia="宋体" w:cs="宋体"/>
                <w:lang w:val="en-US" w:eastAsia="zh-CN"/>
              </w:rPr>
              <w:t>期：</w:t>
            </w:r>
            <w:r>
              <w:rPr>
                <w:rFonts w:hint="eastAsia" w:ascii="宋体" w:hAnsi="宋体" w:eastAsia="宋体" w:cs="宋体"/>
              </w:rPr>
              <w:t>合同签定后</w:t>
            </w:r>
            <w:r>
              <w:rPr>
                <w:rFonts w:hint="eastAsia" w:ascii="宋体" w:hAnsi="宋体" w:eastAsia="宋体" w:cs="宋体"/>
                <w:lang w:val="en-US" w:eastAsia="zh-CN"/>
              </w:rPr>
              <w:t>4</w:t>
            </w:r>
            <w:r>
              <w:rPr>
                <w:rFonts w:hint="eastAsia" w:ascii="宋体" w:hAnsi="宋体" w:eastAsia="宋体" w:cs="宋体"/>
              </w:rPr>
              <w:t>个月内</w:t>
            </w:r>
          </w:p>
          <w:p>
            <w:pPr>
              <w:pStyle w:val="13"/>
              <w:jc w:val="left"/>
              <w:rPr>
                <w:rFonts w:hint="eastAsia" w:ascii="宋体" w:hAnsi="宋体" w:eastAsia="宋体" w:cs="宋体"/>
                <w:lang w:val="en-US" w:eastAsia="zh-CN"/>
              </w:rPr>
            </w:pPr>
            <w:r>
              <w:rPr>
                <w:rFonts w:hint="eastAsia" w:ascii="宋体" w:hAnsi="宋体" w:eastAsia="宋体" w:cs="宋体"/>
                <w:lang w:val="en-US" w:eastAsia="zh-CN"/>
              </w:rPr>
              <w:t>维保期：项目验收合格之日起</w:t>
            </w:r>
            <w:r>
              <w:rPr>
                <w:rFonts w:hint="eastAsia" w:ascii="宋体" w:hAnsi="宋体" w:cs="宋体"/>
                <w:lang w:val="en-US" w:eastAsia="zh-CN"/>
              </w:rPr>
              <w:t>最少</w:t>
            </w:r>
            <w:r>
              <w:rPr>
                <w:rFonts w:hint="eastAsia" w:ascii="宋体" w:hAnsi="宋体" w:eastAsia="宋体" w:cs="宋体"/>
                <w:lang w:val="en-US" w:eastAsia="zh-CN"/>
              </w:rPr>
              <w:t>三年</w:t>
            </w:r>
          </w:p>
        </w:tc>
      </w:tr>
    </w:tbl>
    <w:p>
      <w:pPr>
        <w:rPr>
          <w:rFonts w:hint="eastAsia" w:ascii="宋体" w:hAnsi="宋体" w:eastAsia="宋体" w:cs="宋体"/>
        </w:rPr>
      </w:pPr>
      <w:r>
        <w:rPr>
          <w:rFonts w:hint="eastAsia" w:ascii="宋体" w:hAnsi="宋体" w:eastAsia="宋体" w:cs="宋体"/>
        </w:rPr>
        <w:br w:type="page"/>
      </w:r>
    </w:p>
    <w:p>
      <w:pPr>
        <w:pStyle w:val="2"/>
        <w:bidi w:val="0"/>
        <w:ind w:left="0" w:leftChars="0" w:firstLine="0" w:firstLineChars="0"/>
        <w:rPr>
          <w:rFonts w:hint="eastAsia" w:ascii="宋体" w:hAnsi="宋体" w:eastAsia="宋体" w:cs="宋体"/>
        </w:rPr>
      </w:pPr>
      <w:bookmarkStart w:id="3" w:name="_Toc8827"/>
      <w:r>
        <w:rPr>
          <w:rFonts w:hint="eastAsia" w:ascii="宋体" w:hAnsi="宋体" w:eastAsia="宋体" w:cs="宋体"/>
        </w:rPr>
        <w:t>技术要求</w:t>
      </w:r>
      <w:bookmarkEnd w:id="3"/>
    </w:p>
    <w:p>
      <w:pPr>
        <w:spacing w:line="360" w:lineRule="auto"/>
        <w:ind w:firstLine="420"/>
        <w:rPr>
          <w:rFonts w:hint="eastAsia" w:ascii="宋体" w:hAnsi="宋体" w:eastAsia="宋体" w:cs="宋体"/>
          <w:sz w:val="24"/>
        </w:rPr>
      </w:pPr>
      <w:r>
        <w:rPr>
          <w:rFonts w:hint="eastAsia" w:ascii="宋体" w:hAnsi="宋体" w:eastAsia="宋体" w:cs="宋体"/>
          <w:sz w:val="24"/>
        </w:rPr>
        <w:t>在系统设计和开发上遵循实用高效性、安全可靠性、先进性、开放性、可扩展性、可维护性、经济性等基本原则。</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1．软件平台</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（1）技术结构：采用先进的B/S架构。</w:t>
      </w:r>
      <w:r>
        <w:rPr>
          <w:rFonts w:hint="eastAsia" w:ascii="宋体" w:hAnsi="宋体" w:eastAsia="宋体" w:cs="宋体"/>
          <w:kern w:val="0"/>
          <w:sz w:val="24"/>
        </w:rPr>
        <w:t>所建设系统，不受注册用户和访问用户的数量限制。</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（2）所建设系统支持Linux、Unix、Windows等多操作系统，支持Oracle、Mysql、SQLServer等主要数据库</w:t>
      </w:r>
      <w:r>
        <w:rPr>
          <w:rFonts w:hint="eastAsia" w:ascii="宋体" w:hAnsi="宋体" w:eastAsia="宋体" w:cs="宋体"/>
          <w:bCs/>
          <w:color w:val="000000"/>
          <w:sz w:val="24"/>
          <w:lang w:eastAsia="zh-Hans"/>
        </w:rPr>
        <w:t>。</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2．易用性</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软件系统应将实用性与先进性相结合，易于理解掌握、操作简单、提示清晰、逻辑性强、直观简洁等。</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3．安全性</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（1）系统级安全</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xml:space="preserve">（2）应用级安全(工作站的权限验证) </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（3）操作员的权限验证</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（4）数据安全管理机制</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（5）备份与恢复</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4．灵活性、扩展性</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系统提供灵活的、开放的软件平台，医院可根据自身业务特点和管理要求自行配置。</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5．标准化</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系统应满足国际、国家和相关行业标准。</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6．合法性</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系统首先必须保证与我国现行的有关法律、法规、规章制度相一致，并能满足各级卫生行政部门对信息的要求。</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7. 基本要求</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操作系统、数据库的选择要求安全、稳定、可靠，并提供技术培训、技术支持与技术服务。</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8. 数据完整性</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数据库应包含与</w:t>
      </w:r>
      <w:r>
        <w:rPr>
          <w:rFonts w:hint="eastAsia" w:ascii="宋体" w:hAnsi="宋体" w:cs="宋体"/>
          <w:bCs/>
          <w:color w:val="000000"/>
          <w:sz w:val="24"/>
          <w:lang w:val="en-US" w:eastAsia="zh-CN"/>
        </w:rPr>
        <w:t>财务综合服务平台</w:t>
      </w:r>
      <w:r>
        <w:rPr>
          <w:rFonts w:hint="eastAsia" w:ascii="宋体" w:hAnsi="宋体" w:eastAsia="宋体" w:cs="宋体"/>
          <w:bCs/>
          <w:color w:val="000000"/>
          <w:sz w:val="24"/>
        </w:rPr>
        <w:t>规划建设模块相关全部资源的信息，便于快速查询，数据共享。</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9．简化流程</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信息化软件不仅是将医院传统的手工工作计算机化，必须利用管理信息系统的优势，使得医院的财务管理模式更加科学化、信息化、规范化、标准化。</w:t>
      </w:r>
    </w:p>
    <w:tbl>
      <w:tblPr>
        <w:tblStyle w:val="21"/>
        <w:tblW w:w="5305"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7"/>
        <w:gridCol w:w="1034"/>
        <w:gridCol w:w="715"/>
        <w:gridCol w:w="1474"/>
        <w:gridCol w:w="9"/>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7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7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系统</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4153" w:type="pct"/>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7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财务综合服务</w:t>
            </w:r>
            <w:r>
              <w:rPr>
                <w:rFonts w:hint="eastAsia" w:ascii="宋体" w:hAnsi="宋体" w:eastAsia="宋体" w:cs="宋体"/>
                <w:i w:val="0"/>
                <w:iCs w:val="0"/>
                <w:color w:val="000000"/>
                <w:sz w:val="24"/>
                <w:szCs w:val="24"/>
                <w:u w:val="none"/>
                <w:lang w:val="en-US" w:eastAsia="zh-CN"/>
              </w:rPr>
              <w:t>平台升级项目</w:t>
            </w:r>
          </w:p>
        </w:tc>
        <w:tc>
          <w:tcPr>
            <w:tcW w:w="39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应用平台</w:t>
            </w: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1.1系统架构</w:t>
            </w:r>
          </w:p>
        </w:tc>
        <w:tc>
          <w:tcPr>
            <w:tcW w:w="2942"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Cs/>
                <w:color w:val="auto"/>
                <w:kern w:val="2"/>
                <w:sz w:val="22"/>
                <w:szCs w:val="22"/>
                <w:highlight w:val="none"/>
                <w:lang w:val="en-US" w:eastAsia="zh-CN" w:bidi="ar"/>
              </w:rPr>
              <w:t>系统采用B/S架构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Cs/>
                <w:color w:val="auto"/>
                <w:kern w:val="2"/>
                <w:sz w:val="22"/>
                <w:szCs w:val="22"/>
                <w:highlight w:val="none"/>
                <w:lang w:val="en-US" w:eastAsia="zh-CN" w:bidi="ar"/>
              </w:rPr>
              <w:t>系统无并发站点限制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1.2系统扩展</w:t>
            </w:r>
          </w:p>
        </w:tc>
        <w:tc>
          <w:tcPr>
            <w:tcW w:w="2942" w:type="pct"/>
            <w:gridSpan w:val="2"/>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Cs/>
                <w:color w:val="auto"/>
                <w:kern w:val="2"/>
                <w:sz w:val="22"/>
                <w:szCs w:val="22"/>
                <w:highlight w:val="none"/>
                <w:lang w:val="en-US" w:eastAsia="zh-CN" w:bidi="ar"/>
              </w:rPr>
              <w:t>在原有平台上进行系统扩展，需利用平台的扩展点添加新的功能模块，充分利用现有投资，确保新功能无缝集成、性能稳定。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1.3自定义单据平台</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iCs/>
                <w:color w:val="auto"/>
                <w:kern w:val="2"/>
                <w:sz w:val="22"/>
                <w:szCs w:val="22"/>
                <w:lang w:val="en-US" w:eastAsia="zh-CN" w:bidi="ar"/>
              </w:rPr>
              <w:t>提供可视化单据设计器，支持：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Cs/>
                <w:color w:val="auto"/>
                <w:kern w:val="2"/>
                <w:sz w:val="22"/>
                <w:szCs w:val="22"/>
                <w:lang w:val="en-US" w:eastAsia="zh-CN" w:bidi="ar"/>
              </w:rPr>
              <w:t>（1）字段级属性配置（数据类型、校验规则、默认值）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Cs/>
                <w:color w:val="auto"/>
                <w:kern w:val="2"/>
                <w:sz w:val="22"/>
                <w:szCs w:val="22"/>
                <w:lang w:val="en-US" w:eastAsia="zh-CN" w:bidi="ar"/>
              </w:rPr>
              <w:t>（2）打印模板可视化设计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Cs/>
                <w:color w:val="auto"/>
                <w:kern w:val="2"/>
                <w:sz w:val="22"/>
                <w:szCs w:val="22"/>
                <w:lang w:val="en-US" w:eastAsia="zh-CN" w:bidi="ar"/>
              </w:rPr>
              <w:t>（3）导入导出模板配置（支持Excel格式）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1.4智能审批流引擎</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（1）多审批策略：顺序审批、条件分支、会签、或签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（2）智能路由：基于业务规则自动匹配审批节点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（3）流程优化：支持流程跳转、驳回、加签、减签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1.5报表配置中心</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构建报表生成三层次架构：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（1） 数据源层：支持SQL/API/Excel等多源接入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（2） 模型层：提供可视化SQL构建工具和指标管理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（3） 展现层：支持看板、图表、表格等多种展示形式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（4） 支持报表参数化查询和动态列配置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1.6前后端分离架构</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采用微前端技术实现多模块集成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（1）解决了一体式架构的前后端实现上的弊端，可以实现客户的需求变得更加多样。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（2）优化界面展示，支持部分界面折叠、展开的显示方式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1.7业务时间管控</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2"/>
                <w:szCs w:val="22"/>
                <w:lang w:val="en-US" w:eastAsia="zh-CN" w:bidi="ar"/>
              </w:rPr>
            </w:pPr>
            <w:r>
              <w:rPr>
                <w:rFonts w:hint="eastAsia" w:ascii="宋体" w:hAnsi="宋体" w:eastAsia="宋体" w:cs="宋体"/>
                <w:iCs/>
                <w:color w:val="auto"/>
                <w:kern w:val="2"/>
                <w:sz w:val="22"/>
                <w:szCs w:val="22"/>
                <w:lang w:val="en-US" w:eastAsia="zh-CN" w:bidi="ar"/>
              </w:rPr>
              <w:t>（1）单据填报周期：支持按自然月/季度/年度设置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2"/>
                <w:szCs w:val="22"/>
                <w:lang w:val="en-US" w:eastAsia="zh-CN" w:bidi="ar"/>
              </w:rPr>
            </w:pPr>
            <w:r>
              <w:rPr>
                <w:rFonts w:hint="eastAsia" w:ascii="宋体" w:hAnsi="宋体" w:eastAsia="宋体" w:cs="宋体"/>
                <w:iCs/>
                <w:color w:val="auto"/>
                <w:kern w:val="2"/>
                <w:sz w:val="22"/>
                <w:szCs w:val="22"/>
                <w:lang w:val="en-US" w:eastAsia="zh-CN" w:bidi="ar"/>
              </w:rPr>
              <w:t>（2）审批窗口期：可配置每日有效审批时间段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2"/>
                <w:szCs w:val="22"/>
                <w:lang w:val="en-US" w:eastAsia="zh-CN" w:bidi="ar"/>
              </w:rPr>
            </w:pPr>
            <w:r>
              <w:rPr>
                <w:rFonts w:hint="eastAsia" w:ascii="宋体" w:hAnsi="宋体" w:eastAsia="宋体" w:cs="宋体"/>
                <w:iCs/>
                <w:color w:val="auto"/>
                <w:kern w:val="2"/>
                <w:sz w:val="22"/>
                <w:szCs w:val="22"/>
                <w:lang w:val="en-US" w:eastAsia="zh-CN" w:bidi="ar"/>
              </w:rPr>
              <w:t>（3）数据冻结期：结账期间自动锁定业务数据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2"/>
                <w:szCs w:val="22"/>
                <w:lang w:val="en-US" w:eastAsia="zh-CN" w:bidi="ar"/>
              </w:rPr>
            </w:pPr>
            <w:r>
              <w:rPr>
                <w:rFonts w:hint="eastAsia" w:ascii="宋体" w:hAnsi="宋体" w:eastAsia="宋体" w:cs="宋体"/>
                <w:iCs/>
                <w:color w:val="auto"/>
                <w:kern w:val="2"/>
                <w:sz w:val="22"/>
                <w:szCs w:val="22"/>
                <w:lang w:val="en-US" w:eastAsia="zh-CN" w:bidi="ar"/>
              </w:rPr>
              <w:t>（4）历史数据保留策略：支持按会计年度归档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1.8智能消息中心</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（1）消息类型：事务提醒、待办通知、预警信息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（2）发送渠道：站内信、短信等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1.9附件管理</w:t>
            </w: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（1）存储管理：支持本地存储、对象存储、云存储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15" w:type="pct"/>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942" w:type="pct"/>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iCs/>
                <w:color w:val="auto"/>
                <w:kern w:val="2"/>
                <w:sz w:val="21"/>
                <w:szCs w:val="21"/>
                <w:lang w:val="en-US" w:eastAsia="zh-CN" w:bidi="ar"/>
              </w:rPr>
            </w:pPr>
            <w:r>
              <w:rPr>
                <w:rFonts w:hint="eastAsia" w:ascii="宋体" w:hAnsi="宋体" w:eastAsia="宋体" w:cs="宋体"/>
                <w:iCs/>
                <w:color w:val="auto"/>
                <w:kern w:val="2"/>
                <w:sz w:val="22"/>
                <w:szCs w:val="22"/>
                <w:lang w:val="en-US" w:eastAsia="zh-CN" w:bidi="ar"/>
              </w:rPr>
              <w:t>（2）预览及下载：Office文档、PDF在线预览及下载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预算管理升级</w:t>
            </w:r>
          </w:p>
        </w:tc>
        <w:tc>
          <w:tcPr>
            <w:tcW w:w="3758" w:type="pct"/>
            <w:gridSpan w:val="3"/>
            <w:shd w:val="clear" w:color="auto" w:fill="auto"/>
            <w:vAlign w:val="center"/>
          </w:tcPr>
          <w:p>
            <w:pPr>
              <w:keepNext w:val="0"/>
              <w:keepLines w:val="0"/>
              <w:pageBreakBefore w:val="0"/>
              <w:numPr>
                <w:ilvl w:val="0"/>
                <w:numId w:val="0"/>
              </w:numPr>
              <w:kinsoku/>
              <w:wordWrap/>
              <w:overflowPunct/>
              <w:topLinePunct w:val="0"/>
              <w:autoSpaceDE w:val="0"/>
              <w:autoSpaceDN w:val="0"/>
              <w:bidi w:val="0"/>
              <w:adjustRightInd/>
              <w:snapToGrid/>
              <w:spacing w:line="460" w:lineRule="exact"/>
              <w:textAlignment w:val="auto"/>
              <w:rPr>
                <w:rFonts w:hint="eastAsia" w:ascii="宋体" w:hAnsi="宋体" w:eastAsia="宋体" w:cs="宋体"/>
                <w:i w:val="0"/>
                <w:iCs w:val="0"/>
                <w:color w:val="000000"/>
                <w:sz w:val="22"/>
                <w:szCs w:val="22"/>
                <w:u w:val="none"/>
                <w:lang w:val="en-US" w:eastAsia="zh-CN"/>
              </w:rPr>
            </w:pPr>
            <w:r>
              <w:rPr>
                <w:rFonts w:hint="eastAsia" w:ascii="宋体" w:hAnsi="宋体" w:eastAsia="宋体" w:cs="宋体"/>
                <w:bCs/>
                <w:sz w:val="22"/>
                <w:szCs w:val="22"/>
                <w:highlight w:val="none"/>
                <w:lang w:val="en-US" w:eastAsia="zh-CN"/>
              </w:rPr>
              <w:t>预算管理模块总体分为预算编制、预算审批、预算调整、预算控制、预算执行、预算统计功能。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shd w:val="clear" w:color="auto" w:fill="auto"/>
            <w:vAlign w:val="center"/>
          </w:tcPr>
          <w:p>
            <w:pPr>
              <w:jc w:val="left"/>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2.1期初预算</w:t>
            </w:r>
          </w:p>
        </w:tc>
        <w:tc>
          <w:tcPr>
            <w:tcW w:w="2942" w:type="pct"/>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bCs/>
                <w:sz w:val="22"/>
                <w:szCs w:val="22"/>
                <w:highlight w:val="none"/>
                <w:lang w:val="en-US" w:eastAsia="zh-CN"/>
              </w:rPr>
              <w:t>系统需支持维护预算项目的期初预算，处理期初剩余预算录入业务；可以支持 Excel 模板批量导入；可以对已生效的期初预算进行作废处理。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2.2双预算管理</w:t>
            </w:r>
          </w:p>
        </w:tc>
        <w:tc>
          <w:tcPr>
            <w:tcW w:w="2942" w:type="pct"/>
            <w:gridSpan w:val="2"/>
            <w:shd w:val="clear" w:color="auto" w:fill="auto"/>
            <w:vAlign w:val="center"/>
          </w:tcPr>
          <w:p>
            <w:pPr>
              <w:keepNext w:val="0"/>
              <w:keepLines w:val="0"/>
              <w:pageBreakBefore w:val="0"/>
              <w:numPr>
                <w:ilvl w:val="0"/>
                <w:numId w:val="0"/>
              </w:numPr>
              <w:kinsoku/>
              <w:wordWrap/>
              <w:overflowPunct/>
              <w:topLinePunct w:val="0"/>
              <w:autoSpaceDE w:val="0"/>
              <w:autoSpaceDN w:val="0"/>
              <w:bidi w:val="0"/>
              <w:adjustRightInd/>
              <w:snapToGrid/>
              <w:spacing w:line="460" w:lineRule="exact"/>
              <w:textAlignment w:val="auto"/>
              <w:rPr>
                <w:rFonts w:hint="eastAsia" w:ascii="宋体" w:hAnsi="宋体" w:eastAsia="宋体" w:cs="宋体"/>
                <w:i w:val="0"/>
                <w:iCs w:val="0"/>
                <w:color w:val="000000"/>
                <w:sz w:val="22"/>
                <w:szCs w:val="22"/>
                <w:u w:val="none"/>
                <w:lang w:val="en-US"/>
              </w:rPr>
            </w:pPr>
            <w:r>
              <w:rPr>
                <w:rFonts w:hint="eastAsia" w:ascii="宋体" w:hAnsi="宋体" w:eastAsia="宋体" w:cs="宋体"/>
                <w:bCs/>
                <w:sz w:val="22"/>
                <w:szCs w:val="22"/>
                <w:highlight w:val="none"/>
                <w:lang w:val="en-US" w:eastAsia="zh-CN"/>
              </w:rPr>
              <w:t>系统支持双体系的预算管理模式，允许每个预算科目定义编制属性，涵盖现金流量预算和权责发生制预算。满足现代财政管理对预算执行情况和财务状况并重的要求，提供更全面的预算管理视角。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2.3预算编制</w:t>
            </w:r>
          </w:p>
        </w:tc>
        <w:tc>
          <w:tcPr>
            <w:tcW w:w="2942" w:type="pct"/>
            <w:gridSpan w:val="2"/>
            <w:shd w:val="clear" w:color="auto" w:fill="auto"/>
            <w:vAlign w:val="center"/>
          </w:tcPr>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bCs/>
                <w:sz w:val="22"/>
                <w:szCs w:val="22"/>
                <w:highlight w:val="none"/>
                <w:lang w:val="en-US" w:eastAsia="zh-CN"/>
              </w:rPr>
              <w:t>预算编制遵循“两上两下”的预算编制原则，实行三级预算编制模式，自下而上，由业务科室编制，归口管理部门审批，财务部门审批汇总；也可以根据我院实际情况，直接由归口管理部门申报，财务部门审批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bCs/>
                <w:sz w:val="22"/>
                <w:szCs w:val="22"/>
                <w:highlight w:val="none"/>
                <w:lang w:val="en-US" w:eastAsia="zh-Hans"/>
              </w:rPr>
              <w:t>支持自上而下的编制，允许先制定总预算，然后分解到归口科室，再有归口科室进行细化编制，适用不同的管理需求。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bCs/>
                <w:sz w:val="22"/>
                <w:szCs w:val="22"/>
                <w:highlight w:val="none"/>
                <w:lang w:val="en-US" w:eastAsia="zh-CN"/>
              </w:rPr>
              <w:t>资产（设备）采购预算：支持编制医疗设备购置预算，按单台件申报；编制预算时需提供设备采购的基本信息，如资产名称、单价、设备单位、用途等。资产编制预算功能与中央预算一体化要求的导入格式相匹配，确保了预算数据的一致性和兼容性，简化了预算数据的上报和整合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Cs/>
                <w:sz w:val="22"/>
                <w:szCs w:val="22"/>
                <w:highlight w:val="none"/>
                <w:lang w:val="en-US" w:eastAsia="zh-CN"/>
              </w:rPr>
              <w:t>系统可定义预算编制期间，确保申报和提交预算编制申请仅在指定期间内进行。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2.4预算审批</w:t>
            </w:r>
          </w:p>
        </w:tc>
        <w:tc>
          <w:tcPr>
            <w:tcW w:w="2942" w:type="pct"/>
            <w:gridSpan w:val="2"/>
            <w:shd w:val="clear" w:color="auto" w:fill="auto"/>
            <w:vAlign w:val="center"/>
          </w:tcPr>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rPr>
              <w:t>系统支持自定义审核，根据审批流的定义，系统需要将单据推送至需要对单据进行审批的用户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每类单据可以根据不同需要设置多种预算审批流程。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rPr>
              <w:t>预算审核时，归口和财务等审核人在审批时可以填写建议数，作为下一审批流程审核人的参考</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系统可以实时查询预算编制全过程数据。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rPr>
              <w:t>预算审批可以在首页待审预算查看，也可以菜单列表中根据不同的编制单类型查看对应的审批数据进行审批。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rPr>
              <w:t>系统支持自定义审核，根据审批流的定义，系统需要将单据推送至需要对单据进行审批的用户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每类单据可以根据不同需要设置多种预算审批流程。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2.5预算执行</w:t>
            </w:r>
          </w:p>
        </w:tc>
        <w:tc>
          <w:tcPr>
            <w:tcW w:w="2942"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left"/>
              <w:textAlignment w:val="auto"/>
              <w:rPr>
                <w:rFonts w:hint="eastAsia" w:ascii="宋体" w:hAnsi="宋体" w:eastAsia="宋体" w:cs="宋体"/>
                <w:bCs/>
                <w:sz w:val="22"/>
                <w:szCs w:val="22"/>
                <w:highlight w:val="none"/>
              </w:rPr>
            </w:pPr>
            <w:r>
              <w:rPr>
                <w:rFonts w:hint="eastAsia" w:ascii="宋体" w:hAnsi="宋体" w:eastAsia="宋体" w:cs="宋体"/>
                <w:bCs/>
                <w:sz w:val="22"/>
                <w:szCs w:val="22"/>
                <w:highlight w:val="none"/>
              </w:rPr>
              <w:t>实现与网上报销、合同管理互联互通，提供预算执行监控功能，能够从报销业务数据获取预算执行数，对相关业务进行预算控制和预警；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2.6预算统计分析</w:t>
            </w:r>
          </w:p>
        </w:tc>
        <w:tc>
          <w:tcPr>
            <w:tcW w:w="2942" w:type="pct"/>
            <w:gridSpan w:val="2"/>
            <w:shd w:val="clear" w:color="auto" w:fill="auto"/>
            <w:vAlign w:val="center"/>
          </w:tcPr>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2"/>
                <w:szCs w:val="22"/>
                <w:highlight w:val="none"/>
              </w:rPr>
            </w:pPr>
            <w:r>
              <w:rPr>
                <w:rFonts w:hint="eastAsia" w:ascii="宋体" w:hAnsi="宋体" w:eastAsia="宋体" w:cs="宋体"/>
                <w:bCs/>
                <w:sz w:val="22"/>
                <w:szCs w:val="22"/>
                <w:highlight w:val="none"/>
              </w:rPr>
              <w:t>统计</w:t>
            </w:r>
            <w:r>
              <w:rPr>
                <w:rFonts w:hint="eastAsia" w:ascii="宋体" w:hAnsi="宋体" w:eastAsia="宋体" w:cs="宋体"/>
                <w:highlight w:val="none"/>
              </w:rPr>
              <w:t>分析功能主要是对系统中预算编制数据进行多维度的组合与分解。需要支持多种查询维度，实现按申报流程一上、二上查询，按申报数据查询，按核定数据查询，按部门查询，按预算科目查询，按审核状态查询等。还需要实现生成汇总报表、明细报表，直观的反应数据的结果，报表支持输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lang w:val="en-US" w:eastAsia="zh-CN"/>
              </w:rPr>
            </w:pPr>
          </w:p>
        </w:tc>
        <w:tc>
          <w:tcPr>
            <w:tcW w:w="2942" w:type="pct"/>
            <w:gridSpan w:val="2"/>
            <w:shd w:val="clear" w:color="auto" w:fill="auto"/>
            <w:vAlign w:val="center"/>
          </w:tcPr>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Cs/>
                <w:sz w:val="22"/>
                <w:szCs w:val="22"/>
                <w:highlight w:val="none"/>
              </w:rPr>
            </w:pPr>
            <w:r>
              <w:rPr>
                <w:rFonts w:hint="eastAsia" w:ascii="宋体" w:hAnsi="宋体" w:eastAsia="宋体" w:cs="宋体"/>
                <w:highlight w:val="none"/>
              </w:rPr>
              <w:t>包含但不限于部门医疗收入测算统计表、部门业务量预算统计表、部门收入预算编制统计表、部门支出预算编制统计表、资产(设备)采购预算编制统计表、项目预算编制汇总统计表、项目预算编制明细统计表、科目预算编制统计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报销管理升级</w:t>
            </w:r>
          </w:p>
        </w:tc>
        <w:tc>
          <w:tcPr>
            <w:tcW w:w="3758" w:type="pct"/>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网上报销模块用于医院的院内和专项经费支出（报销）业务的流转，和预算管理模块紧密相关，包括借还款申请、事前申请、 报销申请以及对应的审核、统计分析等功能。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3.1借款还款</w:t>
            </w:r>
          </w:p>
        </w:tc>
        <w:tc>
          <w:tcPr>
            <w:tcW w:w="2942" w:type="pct"/>
            <w:gridSpan w:val="2"/>
            <w:shd w:val="clear" w:color="auto" w:fill="auto"/>
            <w:vAlign w:val="center"/>
          </w:tcPr>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sz w:val="22"/>
                <w:szCs w:val="22"/>
                <w:u w:val="none"/>
                <w:lang w:val="en-US"/>
              </w:rPr>
            </w:pPr>
            <w:r>
              <w:rPr>
                <w:rFonts w:hint="eastAsia" w:ascii="宋体" w:hAnsi="宋体" w:eastAsia="宋体" w:cs="宋体"/>
                <w:bCs/>
                <w:sz w:val="22"/>
                <w:szCs w:val="22"/>
                <w:highlight w:val="none"/>
              </w:rPr>
              <w:t>设置</w:t>
            </w:r>
            <w:r>
              <w:rPr>
                <w:rFonts w:hint="eastAsia" w:ascii="宋体" w:hAnsi="宋体" w:eastAsia="宋体" w:cs="宋体"/>
              </w:rPr>
              <w:t>借款单，实现在线借款、在线审批；支持打印借款单进行存档；可与预算管理整合，进行预算占用和控制；支持与合同进行整合，进行合同付款。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i w:val="0"/>
                <w:iCs w:val="0"/>
                <w:color w:val="000000"/>
                <w:sz w:val="22"/>
                <w:szCs w:val="22"/>
                <w:u w:val="none"/>
                <w:lang w:val="en-US"/>
              </w:rPr>
            </w:pPr>
            <w:r>
              <w:rPr>
                <w:rFonts w:hint="eastAsia" w:ascii="宋体" w:hAnsi="宋体" w:eastAsia="宋体" w:cs="宋体"/>
              </w:rPr>
              <w:t>设置还款单，还款单可与借款单进行关联，进行还款冲销；支持打印还款单进行存档；可与预算管理整合，进行预算占用的释放；可与核算中心整合，生成凭证。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3.2事前申请</w:t>
            </w:r>
          </w:p>
        </w:tc>
        <w:tc>
          <w:tcPr>
            <w:tcW w:w="2942" w:type="pct"/>
            <w:gridSpan w:val="2"/>
            <w:shd w:val="clear" w:color="auto" w:fill="auto"/>
            <w:vAlign w:val="center"/>
          </w:tcPr>
          <w:p>
            <w:pPr>
              <w:keepNext w:val="0"/>
              <w:keepLines w:val="0"/>
              <w:pageBreakBefore w:val="0"/>
              <w:widowControl/>
              <w:numPr>
                <w:ilvl w:val="0"/>
                <w:numId w:val="7"/>
              </w:numPr>
              <w:suppressLineNumbers w:val="0"/>
              <w:kinsoku/>
              <w:wordWrap/>
              <w:overflowPunct/>
              <w:topLinePunct w:val="0"/>
              <w:autoSpaceDE w:val="0"/>
              <w:autoSpaceDN w:val="0"/>
              <w:bidi w:val="0"/>
              <w:adjustRightInd/>
              <w:snapToGrid/>
              <w:spacing w:line="460" w:lineRule="exact"/>
              <w:ind w:left="0" w:leftChars="0" w:firstLine="0" w:firstLineChars="0"/>
              <w:jc w:val="both"/>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bCs/>
                <w:sz w:val="22"/>
                <w:szCs w:val="22"/>
                <w:highlight w:val="none"/>
                <w:lang w:val="en-US" w:eastAsia="zh-CN"/>
              </w:rPr>
              <w:t>实现事前申请业务，</w:t>
            </w:r>
            <w:r>
              <w:rPr>
                <w:rFonts w:hint="eastAsia" w:ascii="宋体" w:hAnsi="宋体" w:eastAsia="宋体" w:cs="宋体"/>
                <w:bCs/>
                <w:sz w:val="22"/>
                <w:szCs w:val="22"/>
                <w:highlight w:val="none"/>
                <w:lang w:eastAsia="zh-Hans"/>
              </w:rPr>
              <w:t>可以进行出差申请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因公出国（境）申请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国内公务接待申请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外宾公务接待申请</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会议组织申请的填写、复制、提交、撤销提交、查看流程等</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7"/>
              </w:numPr>
              <w:suppressLineNumbers w:val="0"/>
              <w:kinsoku/>
              <w:wordWrap/>
              <w:overflowPunct/>
              <w:topLinePunct w:val="0"/>
              <w:autoSpaceDE w:val="0"/>
              <w:autoSpaceDN w:val="0"/>
              <w:bidi w:val="0"/>
              <w:adjustRightInd/>
              <w:snapToGrid/>
              <w:spacing w:line="460" w:lineRule="exact"/>
              <w:ind w:left="0" w:leftChars="0" w:firstLine="0" w:firstLineChars="0"/>
              <w:jc w:val="both"/>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bCs/>
                <w:sz w:val="22"/>
                <w:szCs w:val="22"/>
                <w:highlight w:val="none"/>
                <w:lang w:val="en-US" w:eastAsia="zh-CN"/>
              </w:rPr>
              <w:t>实现事前申请各标准嵌入系统，出差申请时</w:t>
            </w:r>
            <w:r>
              <w:rPr>
                <w:rFonts w:hint="eastAsia" w:ascii="宋体" w:hAnsi="宋体" w:eastAsia="宋体" w:cs="宋体"/>
                <w:bCs/>
                <w:sz w:val="22"/>
                <w:szCs w:val="22"/>
                <w:highlight w:val="none"/>
                <w:lang w:eastAsia="zh-Hans"/>
              </w:rPr>
              <w:t>可以根据差旅补贴、交通工具、住宿等标准，进行出差各种费用标准的上限提示</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因公出国（境）申请</w:t>
            </w:r>
            <w:r>
              <w:rPr>
                <w:rFonts w:hint="eastAsia" w:ascii="宋体" w:hAnsi="宋体" w:eastAsia="宋体" w:cs="宋体"/>
                <w:bCs/>
                <w:sz w:val="22"/>
                <w:szCs w:val="22"/>
                <w:highlight w:val="none"/>
                <w:lang w:val="en-US" w:eastAsia="zh-CN"/>
              </w:rPr>
              <w:t>时</w:t>
            </w:r>
            <w:r>
              <w:rPr>
                <w:rFonts w:hint="eastAsia" w:ascii="宋体" w:hAnsi="宋体" w:eastAsia="宋体" w:cs="宋体"/>
                <w:bCs/>
                <w:sz w:val="22"/>
                <w:szCs w:val="22"/>
                <w:highlight w:val="none"/>
                <w:lang w:eastAsia="zh-Hans"/>
              </w:rPr>
              <w:t>可以根据各国（地区）开支标准，进行因公出国（境）各种费用标准的上限提示</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国内及外宾</w:t>
            </w:r>
            <w:r>
              <w:rPr>
                <w:rFonts w:hint="eastAsia" w:ascii="宋体" w:hAnsi="宋体" w:eastAsia="宋体" w:cs="宋体"/>
                <w:bCs/>
                <w:sz w:val="22"/>
                <w:szCs w:val="22"/>
                <w:highlight w:val="none"/>
                <w:lang w:eastAsia="zh-Hans"/>
              </w:rPr>
              <w:t>公务接待申请</w:t>
            </w:r>
            <w:r>
              <w:rPr>
                <w:rFonts w:hint="eastAsia" w:ascii="宋体" w:hAnsi="宋体" w:eastAsia="宋体" w:cs="宋体"/>
                <w:bCs/>
                <w:sz w:val="22"/>
                <w:szCs w:val="22"/>
                <w:highlight w:val="none"/>
                <w:lang w:val="en-US" w:eastAsia="zh-CN"/>
              </w:rPr>
              <w:t>时</w:t>
            </w:r>
            <w:r>
              <w:rPr>
                <w:rFonts w:hint="eastAsia" w:ascii="宋体" w:hAnsi="宋体" w:eastAsia="宋体" w:cs="宋体"/>
                <w:bCs/>
                <w:sz w:val="22"/>
                <w:szCs w:val="22"/>
                <w:highlight w:val="none"/>
                <w:lang w:eastAsia="zh-Hans"/>
              </w:rPr>
              <w:t>可以对陪餐人员标准进行控制</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会议组织</w:t>
            </w:r>
            <w:r>
              <w:rPr>
                <w:rFonts w:hint="eastAsia" w:ascii="宋体" w:hAnsi="宋体" w:eastAsia="宋体" w:cs="宋体"/>
                <w:bCs/>
                <w:sz w:val="22"/>
                <w:szCs w:val="22"/>
                <w:highlight w:val="none"/>
                <w:lang w:eastAsia="zh-Hans"/>
              </w:rPr>
              <w:t>申请时按照相关费用及参会标准，控制或提醒不可超标</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3.3费用报销</w:t>
            </w: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sz w:val="22"/>
                <w:szCs w:val="22"/>
                <w:u w:val="none"/>
                <w:lang w:val="en-US"/>
              </w:rPr>
            </w:pPr>
            <w:r>
              <w:rPr>
                <w:rFonts w:hint="eastAsia" w:ascii="宋体" w:hAnsi="宋体" w:eastAsia="宋体" w:cs="宋体"/>
                <w:bCs/>
                <w:sz w:val="22"/>
                <w:szCs w:val="22"/>
                <w:highlight w:val="none"/>
                <w:lang w:val="en-US" w:eastAsia="zh-CN"/>
              </w:rPr>
              <w:t>实现各费用报销业务，可以进行日常费用报销、差旅报销、</w:t>
            </w:r>
            <w:r>
              <w:rPr>
                <w:rFonts w:hint="eastAsia" w:ascii="宋体" w:hAnsi="宋体" w:eastAsia="宋体" w:cs="宋体"/>
                <w:bCs/>
                <w:sz w:val="22"/>
                <w:szCs w:val="22"/>
                <w:highlight w:val="none"/>
                <w:lang w:eastAsia="zh-Hans"/>
              </w:rPr>
              <w:t>因公出国（境）报销</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国内公务接待报销</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外宾公务接待报销</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会议组织费报销的填写、复制、提交、撤销提交、查看流程等</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实现费用报销关联事前申请，在差旅</w:t>
            </w:r>
            <w:r>
              <w:rPr>
                <w:rFonts w:hint="eastAsia" w:ascii="宋体" w:hAnsi="宋体" w:eastAsia="宋体" w:cs="宋体"/>
                <w:bCs/>
                <w:sz w:val="22"/>
                <w:szCs w:val="22"/>
                <w:highlight w:val="none"/>
                <w:lang w:eastAsia="zh-Hans"/>
              </w:rPr>
              <w:t>报销时自动带出差旅费申请单信息，并根据实际出差情况重新计算相关费用及补贴，控制金额不可超标；因公出国（境）报销时自动带出因公出国（境）申请单信息，并根据实际出差情况重新计算相关费用及补贴，控制金额不可超标；国内公务接待</w:t>
            </w:r>
            <w:r>
              <w:rPr>
                <w:rFonts w:hint="eastAsia" w:ascii="宋体" w:hAnsi="宋体" w:eastAsia="宋体" w:cs="宋体"/>
                <w:bCs/>
                <w:sz w:val="22"/>
                <w:szCs w:val="22"/>
                <w:highlight w:val="none"/>
                <w:lang w:val="en-US" w:eastAsia="zh-CN"/>
              </w:rPr>
              <w:t>和</w:t>
            </w:r>
            <w:r>
              <w:rPr>
                <w:rFonts w:hint="eastAsia" w:ascii="宋体" w:hAnsi="宋体" w:eastAsia="宋体" w:cs="宋体"/>
                <w:bCs/>
                <w:sz w:val="22"/>
                <w:szCs w:val="22"/>
                <w:highlight w:val="none"/>
                <w:lang w:eastAsia="zh-Hans"/>
              </w:rPr>
              <w:t>外宾公务接待报销时自动带出公务接待申请单信息，控制陪餐人数和标准；会议组织费报销时自动带出会议组织费申请单信息，并根据实际会议及出差情况重新计算相关费用及补贴，控制金额不可超标</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实现</w:t>
            </w:r>
            <w:r>
              <w:rPr>
                <w:rFonts w:hint="eastAsia" w:ascii="宋体" w:hAnsi="宋体" w:eastAsia="宋体" w:cs="宋体"/>
                <w:bCs/>
                <w:sz w:val="22"/>
                <w:szCs w:val="22"/>
                <w:highlight w:val="none"/>
                <w:lang w:eastAsia="zh-Hans"/>
              </w:rPr>
              <w:t>内部转调账</w:t>
            </w:r>
            <w:r>
              <w:rPr>
                <w:rFonts w:hint="eastAsia" w:ascii="宋体" w:hAnsi="宋体" w:eastAsia="宋体" w:cs="宋体"/>
                <w:bCs/>
                <w:sz w:val="22"/>
                <w:szCs w:val="22"/>
                <w:highlight w:val="none"/>
                <w:lang w:val="en-US" w:eastAsia="zh-CN"/>
              </w:rPr>
              <w:t>业务，</w:t>
            </w:r>
            <w:r>
              <w:rPr>
                <w:rFonts w:hint="eastAsia" w:ascii="宋体" w:hAnsi="宋体" w:eastAsia="宋体" w:cs="宋体"/>
                <w:bCs/>
                <w:sz w:val="22"/>
                <w:szCs w:val="22"/>
                <w:highlight w:val="none"/>
                <w:lang w:eastAsia="zh-Hans"/>
              </w:rPr>
              <w:t>可以根据所选的转账类型，自动控制金额填写规范；可根据实际需要，在线走审批流或不走审批流，或走简易审批流、或根据不同的转账类型走不同审批流。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单据打印：</w:t>
            </w:r>
            <w:r>
              <w:rPr>
                <w:rFonts w:hint="eastAsia" w:ascii="宋体" w:hAnsi="宋体" w:eastAsia="宋体" w:cs="宋体"/>
                <w:bCs/>
                <w:sz w:val="22"/>
                <w:szCs w:val="22"/>
                <w:highlight w:val="none"/>
                <w:lang w:eastAsia="zh-Hans"/>
              </w:rPr>
              <w:t>支持</w:t>
            </w:r>
            <w:r>
              <w:rPr>
                <w:rFonts w:hint="eastAsia" w:ascii="宋体" w:hAnsi="宋体" w:eastAsia="宋体" w:cs="宋体"/>
                <w:bCs/>
                <w:sz w:val="22"/>
                <w:szCs w:val="22"/>
                <w:highlight w:val="none"/>
                <w:lang w:val="en-US" w:eastAsia="zh-CN"/>
              </w:rPr>
              <w:t>对报销的所有单据进行打印</w:t>
            </w:r>
            <w:r>
              <w:rPr>
                <w:rFonts w:hint="eastAsia" w:ascii="宋体" w:hAnsi="宋体" w:eastAsia="宋体" w:cs="宋体"/>
                <w:bCs/>
                <w:sz w:val="22"/>
                <w:szCs w:val="22"/>
                <w:highlight w:val="none"/>
                <w:lang w:eastAsia="zh-Hans"/>
              </w:rPr>
              <w:t>存档</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导航式填报流程：将复杂的报销表单拆分为多个简单的步骤，每一步只展示相关的字段和信息，引导经办人逐步完成填报，减少填报过程中的困惑和错误。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报销管理关联预算管理：可与预算管理整合，在业务申请时校验预算剩余额度，进行预算控制；提交单据时进行预算占用；在业务报销时实现预算占用的释放即预算执行。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报销管理关联发票管理：在报销时</w:t>
            </w:r>
            <w:r>
              <w:rPr>
                <w:rFonts w:hint="eastAsia" w:ascii="宋体" w:hAnsi="宋体" w:eastAsia="宋体" w:cs="宋体"/>
                <w:bCs/>
                <w:sz w:val="22"/>
                <w:szCs w:val="22"/>
                <w:highlight w:val="none"/>
                <w:lang w:eastAsia="zh-Hans"/>
              </w:rPr>
              <w:t>可以进行发票的调用，自动带出已查验通过的发票相关信息；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2"/>
                <w:szCs w:val="22"/>
                <w:highlight w:val="none"/>
                <w:lang w:val="en-US" w:eastAsia="zh-CN"/>
              </w:rPr>
              <w:t>报销管理关联合同管理：</w:t>
            </w:r>
            <w:r>
              <w:rPr>
                <w:rFonts w:hint="eastAsia" w:ascii="宋体" w:hAnsi="宋体" w:eastAsia="宋体" w:cs="宋体"/>
                <w:bCs/>
                <w:sz w:val="22"/>
                <w:szCs w:val="22"/>
                <w:highlight w:val="none"/>
                <w:lang w:eastAsia="zh-Hans"/>
              </w:rPr>
              <w:t>支持与合同进行整合，进行合同付款。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3.4报销审批</w:t>
            </w:r>
          </w:p>
        </w:tc>
        <w:tc>
          <w:tcPr>
            <w:tcW w:w="2942" w:type="pct"/>
            <w:gridSpan w:val="2"/>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rPr>
              <w:t>根据审批流的定义，系统自动将报销单据推送至需要对单据进行审批的用户。有审批权限的用户可以对报销单据进行审批、退回及撤销操作</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rPr>
              <w:t>首页汇总审批：在系统首页进行待审批事项汇总提醒，分别显示各业务内容待审批单据数量，可以通过具体提醒事项，进行相关单据的审批</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实现各单据审批：包含借款单、还款单、出差申请单、</w:t>
            </w:r>
            <w:r>
              <w:rPr>
                <w:rFonts w:hint="eastAsia" w:ascii="宋体" w:hAnsi="宋体" w:eastAsia="宋体" w:cs="宋体"/>
                <w:bCs/>
                <w:sz w:val="22"/>
                <w:szCs w:val="22"/>
                <w:highlight w:val="none"/>
                <w:lang w:eastAsia="zh-Hans"/>
              </w:rPr>
              <w:t>国内公务接待申请</w:t>
            </w:r>
            <w:r>
              <w:rPr>
                <w:rFonts w:hint="eastAsia" w:ascii="宋体" w:hAnsi="宋体" w:eastAsia="宋体" w:cs="宋体"/>
                <w:bCs/>
                <w:sz w:val="22"/>
                <w:szCs w:val="22"/>
                <w:highlight w:val="none"/>
                <w:lang w:val="en-US" w:eastAsia="zh-CN"/>
              </w:rPr>
              <w:t>单</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外宾公务接待申请</w:t>
            </w:r>
            <w:r>
              <w:rPr>
                <w:rFonts w:hint="eastAsia" w:ascii="宋体" w:hAnsi="宋体" w:eastAsia="宋体" w:cs="宋体"/>
                <w:bCs/>
                <w:sz w:val="22"/>
                <w:szCs w:val="22"/>
                <w:highlight w:val="none"/>
                <w:lang w:val="en-US" w:eastAsia="zh-CN"/>
              </w:rPr>
              <w:t>单</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会议组织申请</w:t>
            </w:r>
            <w:r>
              <w:rPr>
                <w:rFonts w:hint="eastAsia" w:ascii="宋体" w:hAnsi="宋体" w:eastAsia="宋体" w:cs="宋体"/>
                <w:bCs/>
                <w:sz w:val="22"/>
                <w:szCs w:val="22"/>
                <w:highlight w:val="none"/>
                <w:lang w:val="en-US" w:eastAsia="zh-CN"/>
              </w:rPr>
              <w:t>单、费用报销单、差旅报销单、</w:t>
            </w:r>
            <w:r>
              <w:rPr>
                <w:rFonts w:hint="eastAsia" w:ascii="宋体" w:hAnsi="宋体" w:eastAsia="宋体" w:cs="宋体"/>
                <w:bCs/>
                <w:sz w:val="22"/>
                <w:szCs w:val="22"/>
                <w:highlight w:val="none"/>
                <w:lang w:eastAsia="zh-Hans"/>
              </w:rPr>
              <w:t>因公出国（境）报销</w:t>
            </w:r>
            <w:r>
              <w:rPr>
                <w:rFonts w:hint="eastAsia" w:ascii="宋体" w:hAnsi="宋体" w:eastAsia="宋体" w:cs="宋体"/>
                <w:bCs/>
                <w:sz w:val="22"/>
                <w:szCs w:val="22"/>
                <w:highlight w:val="none"/>
                <w:lang w:val="en-US" w:eastAsia="zh-CN"/>
              </w:rPr>
              <w:t>单</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国内公务接待报销</w:t>
            </w:r>
            <w:r>
              <w:rPr>
                <w:rFonts w:hint="eastAsia" w:ascii="宋体" w:hAnsi="宋体" w:eastAsia="宋体" w:cs="宋体"/>
                <w:bCs/>
                <w:sz w:val="22"/>
                <w:szCs w:val="22"/>
                <w:highlight w:val="none"/>
                <w:lang w:val="en-US" w:eastAsia="zh-CN"/>
              </w:rPr>
              <w:t>单</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外宾公务接待报销</w:t>
            </w:r>
            <w:r>
              <w:rPr>
                <w:rFonts w:hint="eastAsia" w:ascii="宋体" w:hAnsi="宋体" w:eastAsia="宋体" w:cs="宋体"/>
                <w:bCs/>
                <w:sz w:val="22"/>
                <w:szCs w:val="22"/>
                <w:highlight w:val="none"/>
                <w:lang w:val="en-US" w:eastAsia="zh-CN"/>
              </w:rPr>
              <w:t>单</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eastAsia="zh-Hans"/>
              </w:rPr>
              <w:t>会议组织费报销</w:t>
            </w:r>
            <w:r>
              <w:rPr>
                <w:rFonts w:hint="eastAsia" w:ascii="宋体" w:hAnsi="宋体" w:eastAsia="宋体" w:cs="宋体"/>
                <w:bCs/>
                <w:sz w:val="22"/>
                <w:szCs w:val="22"/>
                <w:highlight w:val="none"/>
                <w:lang w:val="en-US" w:eastAsia="zh-CN"/>
              </w:rPr>
              <w:t>单、内部转调账单；</w:t>
            </w:r>
            <w:r>
              <w:rPr>
                <w:rFonts w:hint="eastAsia" w:ascii="宋体" w:hAnsi="宋体" w:eastAsia="宋体" w:cs="宋体"/>
                <w:bCs/>
                <w:sz w:val="22"/>
                <w:szCs w:val="22"/>
                <w:highlight w:val="none"/>
              </w:rPr>
              <w:t>支持单个审批、批量审批、撤销审批</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用户</w:t>
            </w:r>
            <w:r>
              <w:rPr>
                <w:rFonts w:hint="eastAsia" w:ascii="宋体" w:hAnsi="宋体" w:eastAsia="宋体" w:cs="宋体"/>
                <w:bCs/>
                <w:sz w:val="22"/>
                <w:szCs w:val="22"/>
                <w:highlight w:val="none"/>
              </w:rPr>
              <w:t>可对相关待审单据及已审单据进行流程查看</w:t>
            </w:r>
            <w:r>
              <w:rPr>
                <w:rFonts w:hint="eastAsia" w:ascii="宋体" w:hAnsi="宋体" w:eastAsia="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rPr>
              <w:t>支持待审及已审单据的导出与打印。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3.5统计分析</w:t>
            </w:r>
          </w:p>
        </w:tc>
        <w:tc>
          <w:tcPr>
            <w:tcW w:w="2942" w:type="pct"/>
            <w:gridSpan w:val="2"/>
            <w:shd w:val="clear" w:color="auto" w:fill="auto"/>
            <w:vAlign w:val="center"/>
          </w:tcPr>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借款统计表：支持统计单位内部的借款记录、还款情况。支持报表导出为excel格式文件。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报销统计表：支持统计单位内部总体报销情况。支持报表导出为excel格式文件。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报销明细表：支持统计单位内部各种报销类型的报销情况。支持报表导出为excel格式文件。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restart"/>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合同管理升级</w:t>
            </w:r>
          </w:p>
        </w:tc>
        <w:tc>
          <w:tcPr>
            <w:tcW w:w="3758" w:type="pct"/>
            <w:gridSpan w:val="3"/>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合同管理模块涉及收款、付款、非经济合同由申请到签订以及后期合同执行完成全流程的业务管理方案。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4.1合同申请</w:t>
            </w:r>
          </w:p>
        </w:tc>
        <w:tc>
          <w:tcPr>
            <w:tcW w:w="2942"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与预算管理进行整合，合同申请时占用并控制预算。在合同发起时校验合同占用金额是否超出预算项目剩余金额，超出预算余额则给出预警提示，控制合同申请单不可提交，不超预算余额则在单据提交时占用预算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4.2合同档案</w:t>
            </w:r>
          </w:p>
        </w:tc>
        <w:tc>
          <w:tcPr>
            <w:tcW w:w="2942"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在合同台账中支持对合同进行结转预算的操作，可进行批量结转合同尾款。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restart"/>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4.3合同执行</w:t>
            </w:r>
          </w:p>
        </w:tc>
        <w:tc>
          <w:tcPr>
            <w:tcW w:w="2942" w:type="pct"/>
            <w:gridSpan w:val="2"/>
            <w:shd w:val="clear" w:color="auto" w:fill="auto"/>
            <w:vAlign w:val="center"/>
          </w:tcPr>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实现合同收款执行，可关联合同的收款计划并进行在线审批；执行完成后自动回写合同的执行状态。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rPr>
            </w:pPr>
          </w:p>
        </w:tc>
        <w:tc>
          <w:tcPr>
            <w:tcW w:w="815" w:type="pct"/>
            <w:vMerge w:val="continue"/>
            <w:shd w:val="clear" w:color="auto" w:fill="auto"/>
            <w:vAlign w:val="center"/>
          </w:tcPr>
          <w:p>
            <w:pPr>
              <w:jc w:val="left"/>
              <w:rPr>
                <w:rFonts w:hint="eastAsia" w:ascii="宋体" w:hAnsi="宋体" w:eastAsia="宋体" w:cs="宋体"/>
                <w:i w:val="0"/>
                <w:iCs w:val="0"/>
                <w:color w:val="000000"/>
                <w:sz w:val="22"/>
                <w:szCs w:val="22"/>
                <w:u w:val="none"/>
              </w:rPr>
            </w:pPr>
          </w:p>
        </w:tc>
        <w:tc>
          <w:tcPr>
            <w:tcW w:w="2942" w:type="pct"/>
            <w:gridSpan w:val="2"/>
            <w:shd w:val="clear" w:color="auto" w:fill="auto"/>
            <w:vAlign w:val="center"/>
          </w:tcPr>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实现合同履约计划，支持在线审批；执行完成后自动回写合同的履约情况。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restart"/>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移动应用功能需求</w:t>
            </w:r>
          </w:p>
        </w:tc>
        <w:tc>
          <w:tcPr>
            <w:tcW w:w="3758" w:type="pct"/>
            <w:gridSpan w:val="3"/>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移动应用，通过与</w:t>
            </w:r>
            <w:r>
              <w:rPr>
                <w:rFonts w:hint="eastAsia" w:ascii="宋体" w:hAnsi="宋体" w:cs="宋体"/>
                <w:bCs/>
                <w:sz w:val="22"/>
                <w:szCs w:val="22"/>
                <w:highlight w:val="none"/>
                <w:lang w:val="en-US" w:eastAsia="zh-CN"/>
              </w:rPr>
              <w:t>财务综合服务</w:t>
            </w:r>
            <w:r>
              <w:rPr>
                <w:rFonts w:hint="eastAsia" w:ascii="宋体" w:hAnsi="宋体" w:eastAsia="宋体" w:cs="宋体"/>
                <w:bCs/>
                <w:sz w:val="22"/>
                <w:szCs w:val="22"/>
                <w:highlight w:val="none"/>
                <w:lang w:val="en-US" w:eastAsia="zh-CN"/>
              </w:rPr>
              <w:t>平台进行功能整合，为全院各级人员提供智能财务前端平台，提高各级人员对财务服务的体验度。需要包含用户登录认证、消息推送、待办查询、批量审批、审批进度查询等业务功能，具体如下：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5.1用户登录认证</w:t>
            </w:r>
          </w:p>
        </w:tc>
        <w:tc>
          <w:tcPr>
            <w:tcW w:w="2937" w:type="pct"/>
            <w:shd w:val="clear" w:color="auto" w:fill="auto"/>
            <w:vAlign w:val="center"/>
          </w:tcPr>
          <w:p>
            <w:pPr>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建立统一的院内用户登录门户，用户通过注册认证，使用账号密码进行门户登录；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支持身份校验认证，审批权限控制。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5.2待办消息推送</w:t>
            </w:r>
          </w:p>
        </w:tc>
        <w:tc>
          <w:tcPr>
            <w:tcW w:w="2937"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对接PC端，支持审批和待办任务的实时消息预警和提示。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5.3移动审批</w:t>
            </w:r>
          </w:p>
        </w:tc>
        <w:tc>
          <w:tcPr>
            <w:tcW w:w="2937" w:type="pct"/>
            <w:shd w:val="clear" w:color="auto" w:fill="auto"/>
            <w:vAlign w:val="center"/>
          </w:tcPr>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lang w:val="en-US" w:eastAsia="zh-CN"/>
              </w:rPr>
              <w:t>在移动端实现审批功能，可按照不同审批类型区分；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lang w:val="en-US" w:eastAsia="zh-CN"/>
              </w:rPr>
              <w:t>移动审批支持查看经办人上传的发票等相关附件；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lang w:val="en-US" w:eastAsia="zh-CN"/>
              </w:rPr>
              <w:t>移动端同时支持本人按照多维度查询条件，包括审批的业务类型，提交的部门，审批的时间范围，金额范围等，查看本人已经审批的和仍待审批的相关单据的信息；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2"/>
                <w:szCs w:val="22"/>
                <w:highlight w:val="none"/>
                <w:lang w:val="en-US" w:eastAsia="zh-CN"/>
              </w:rPr>
              <w:t>移动端审批操作同时也支持审批意见的批注，对于审核通过的，可填写通过意见，若直接审核则系统默认审核意见为通过，若审核或审批时对于单据有疑问或者信息有误等，可进行退回，退回时需要说明退回的意见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5.4移动查询</w:t>
            </w:r>
          </w:p>
        </w:tc>
        <w:tc>
          <w:tcPr>
            <w:tcW w:w="2937" w:type="pct"/>
            <w:shd w:val="clear" w:color="auto" w:fill="auto"/>
            <w:vAlign w:val="center"/>
          </w:tcPr>
          <w:p>
            <w:pPr>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系统根据权限，可以看到本人权限范围内的单据的审批流程进度及审核意见，包括单据当前进行到哪一步流程，下一步待审核的流程，便于经办人及时掌握报销进度；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审批人也可随时看到本人审核之前，前序阶段的审核意见及建议等。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5.5薪资查询</w:t>
            </w:r>
          </w:p>
        </w:tc>
        <w:tc>
          <w:tcPr>
            <w:tcW w:w="2937"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移动端可以根据每个月财务导入的工资数据，展示个人薪资情况，用户可在移动端按照系统角色分配的查询权限查看各自薪资发放情况，支持按月查询及累积查询。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5.6安全需求</w:t>
            </w:r>
          </w:p>
        </w:tc>
        <w:tc>
          <w:tcPr>
            <w:tcW w:w="2937"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除了需要满足前端业务人员的基本需求之外，在进行功能开发的同时也需要考虑到数据安全、数据存储等方面的要求。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5"/>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数据保存规范：院内敏感信息不能保存在外部存储中；服务商团队应对数据敏感程度进行分级；S2级敏感数据必须加密保存。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jc w:val="center"/>
              <w:rPr>
                <w:rFonts w:hint="eastAsia" w:ascii="宋体" w:hAnsi="宋体" w:eastAsia="宋体" w:cs="宋体"/>
                <w:i w:val="0"/>
                <w:iCs w:val="0"/>
                <w:color w:val="000000"/>
                <w:sz w:val="24"/>
                <w:szCs w:val="24"/>
                <w:u w:val="none"/>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numPr>
                <w:ilvl w:val="0"/>
                <w:numId w:val="15"/>
              </w:numPr>
              <w:suppressLineNumbers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身份认证、授权机制：需要设计有效的身份验证机制；如果采用用户名、密码验证机制、密码需要6位以上，数字字母组合；涉及资金、交易业务需要二次验证；绑定对象应该绑定用户身份，而非用户的设备等。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restart"/>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p>
            <w:pPr>
              <w:pStyle w:val="13"/>
              <w:jc w:val="center"/>
              <w:rPr>
                <w:rFonts w:hint="eastAsia" w:ascii="宋体" w:hAnsi="宋体" w:eastAsia="宋体" w:cs="宋体"/>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收入管理功能需求</w:t>
            </w:r>
          </w:p>
        </w:tc>
        <w:tc>
          <w:tcPr>
            <w:tcW w:w="3758" w:type="pct"/>
            <w:gridSpan w:val="3"/>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收入管理涵盖医疗收入、财政补助收入、科教项目收入和其他收入,将全部收款业务纳入系统管理，保证收入业务活动的有效进行。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rPr>
                <w:rFonts w:hint="eastAsia" w:ascii="宋体" w:hAnsi="宋体" w:eastAsia="宋体" w:cs="宋体"/>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6.1收入单管理</w:t>
            </w:r>
          </w:p>
        </w:tc>
        <w:tc>
          <w:tcPr>
            <w:tcW w:w="2937" w:type="pct"/>
            <w:shd w:val="clear" w:color="auto" w:fill="auto"/>
            <w:vAlign w:val="center"/>
          </w:tcPr>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color w:val="000000"/>
                <w:sz w:val="22"/>
                <w:szCs w:val="22"/>
                <w:lang w:val="en-US" w:eastAsia="zh-CN"/>
              </w:rPr>
              <w:t>与HIS系统对接，</w:t>
            </w:r>
            <w:r>
              <w:rPr>
                <w:rFonts w:hint="eastAsia" w:ascii="宋体" w:hAnsi="宋体" w:eastAsia="宋体" w:cs="宋体"/>
                <w:sz w:val="22"/>
                <w:szCs w:val="22"/>
              </w:rPr>
              <w:t>实现医疗收入的数据共享，生成</w:t>
            </w:r>
            <w:r>
              <w:rPr>
                <w:rFonts w:hint="eastAsia" w:ascii="宋体" w:hAnsi="宋体" w:eastAsia="宋体" w:cs="宋体"/>
                <w:sz w:val="22"/>
                <w:szCs w:val="22"/>
                <w:lang w:val="en-US" w:eastAsia="zh-CN"/>
              </w:rPr>
              <w:t>门诊、住院</w:t>
            </w:r>
            <w:r>
              <w:rPr>
                <w:rFonts w:hint="eastAsia" w:ascii="宋体" w:hAnsi="宋体" w:eastAsia="宋体" w:cs="宋体"/>
                <w:sz w:val="22"/>
                <w:szCs w:val="22"/>
              </w:rPr>
              <w:t>收入单；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rPr>
                <w:rFonts w:hint="eastAsia" w:ascii="宋体" w:hAnsi="宋体" w:eastAsia="宋体" w:cs="宋体"/>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color w:val="000000"/>
                <w:sz w:val="22"/>
                <w:szCs w:val="22"/>
                <w:lang w:val="en-US" w:eastAsia="zh-CN"/>
              </w:rPr>
              <w:t>支持进行来款分配，在收入入账办理过程中可进行资金认领，完成项目额度的增加以及项目管理费等支出，确保业务与资金的一致性。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rPr>
                <w:rFonts w:hint="eastAsia" w:ascii="宋体" w:hAnsi="宋体" w:eastAsia="宋体" w:cs="宋体"/>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6.2收入单审核</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根据医院实际业务设置专门的审批流程，审批人员可以对门诊、住院收入日报单、科教、财政项目收入单进行审核，确认收入数据的准确性。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rPr>
                <w:rFonts w:hint="eastAsia" w:ascii="宋体" w:hAnsi="宋体" w:eastAsia="宋体" w:cs="宋体"/>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6.3收入统计分析</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实现与预算管理的整合，执行收入预算，提高预算管理内容的完整性；实现与合同管理的整合，在收入流程审批结束时，自动完成合同收款计划的执行，并出具执行收入统计表。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restart"/>
            <w:shd w:val="clear" w:color="auto" w:fill="auto"/>
            <w:vAlign w:val="center"/>
          </w:tcPr>
          <w:p>
            <w:pPr>
              <w:pStyle w:val="13"/>
              <w:jc w:val="center"/>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7</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智能问答功能需求</w:t>
            </w: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7.1人员管理</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需建立统一的人员管理模块，实现管理智能助手登录人员工号、姓名、手机号、部门等基本信息。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7.2账号管理</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用户可以通过移动端登录智能小助手，需对用户进行信息校验；用户可对本人账号进行密码变更。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7.3知识库管理</w:t>
            </w:r>
          </w:p>
        </w:tc>
        <w:tc>
          <w:tcPr>
            <w:tcW w:w="2937" w:type="pct"/>
            <w:shd w:val="clear" w:color="auto" w:fill="auto"/>
            <w:vAlign w:val="center"/>
          </w:tcPr>
          <w:p>
            <w:pPr>
              <w:pStyle w:val="13"/>
              <w:keepNext w:val="0"/>
              <w:keepLines w:val="0"/>
              <w:pageBreakBefore w:val="0"/>
              <w:widowControl w:val="0"/>
              <w:numPr>
                <w:ilvl w:val="0"/>
                <w:numId w:val="17"/>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sz w:val="22"/>
                <w:szCs w:val="22"/>
                <w:lang w:val="en-US" w:eastAsia="zh-CN"/>
              </w:rPr>
              <w:t>支持管理员在设置招待费报销、维修费报销、借款报销、差旅费借款报销等知识分类。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pStyle w:val="13"/>
              <w:keepNext w:val="0"/>
              <w:keepLines w:val="0"/>
              <w:pageBreakBefore w:val="0"/>
              <w:widowControl w:val="0"/>
              <w:numPr>
                <w:ilvl w:val="0"/>
                <w:numId w:val="17"/>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sz w:val="22"/>
                <w:szCs w:val="22"/>
                <w:lang w:val="en-US" w:eastAsia="zh-CN"/>
              </w:rPr>
              <w:t>支持管理员设置内容分类对应的知识内容，一个分类可设置多个内容。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7.4智能咨询</w:t>
            </w:r>
          </w:p>
        </w:tc>
        <w:tc>
          <w:tcPr>
            <w:tcW w:w="2937" w:type="pct"/>
            <w:shd w:val="clear" w:color="auto" w:fill="auto"/>
            <w:vAlign w:val="center"/>
          </w:tcPr>
          <w:p>
            <w:pPr>
              <w:pStyle w:val="13"/>
              <w:keepNext w:val="0"/>
              <w:keepLines w:val="0"/>
              <w:pageBreakBefore w:val="0"/>
              <w:widowControl w:val="0"/>
              <w:numPr>
                <w:ilvl w:val="0"/>
                <w:numId w:val="18"/>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用户可通过点击知识模块对其进行详细信息查看；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pStyle w:val="13"/>
              <w:keepNext w:val="0"/>
              <w:keepLines w:val="0"/>
              <w:pageBreakBefore w:val="0"/>
              <w:widowControl w:val="0"/>
              <w:numPr>
                <w:ilvl w:val="0"/>
                <w:numId w:val="18"/>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支持文字检索，输入关键词可查询相关知识内容；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keepNext w:val="0"/>
              <w:keepLines w:val="0"/>
              <w:pageBreakBefore w:val="0"/>
              <w:widowControl w:val="0"/>
              <w:numPr>
                <w:ilvl w:val="0"/>
                <w:numId w:val="17"/>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2"/>
                <w:szCs w:val="22"/>
                <w:lang w:val="en-US" w:eastAsia="zh-CN"/>
              </w:rPr>
              <w:t>支持语音输入，可进行语音识别检索内容详情。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7.5智能查询</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afterLines="0"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系统支持后台住宿费数据存储、变更等功能，用户可通过移动端按需选择城市查询不同经费内各职称人员的报销标准。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7.6留言管理</w:t>
            </w:r>
          </w:p>
        </w:tc>
        <w:tc>
          <w:tcPr>
            <w:tcW w:w="2937" w:type="pct"/>
            <w:shd w:val="clear" w:color="auto" w:fill="auto"/>
            <w:vAlign w:val="center"/>
          </w:tcPr>
          <w:p>
            <w:pPr>
              <w:pStyle w:val="13"/>
              <w:keepNext w:val="0"/>
              <w:keepLines w:val="0"/>
              <w:pageBreakBefore w:val="0"/>
              <w:widowControl w:val="0"/>
              <w:numPr>
                <w:ilvl w:val="0"/>
                <w:numId w:val="19"/>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智能助手支持用户提交留言，实现用户与财务建问题沟通的便捷渠道。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pStyle w:val="13"/>
              <w:keepNext w:val="0"/>
              <w:keepLines w:val="0"/>
              <w:pageBreakBefore w:val="0"/>
              <w:widowControl w:val="0"/>
              <w:numPr>
                <w:ilvl w:val="0"/>
                <w:numId w:val="19"/>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用户可查看本人留言以及回复状态，留言回复详情可进入详细留言进行查看。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p>
        </w:tc>
        <w:tc>
          <w:tcPr>
            <w:tcW w:w="2937" w:type="pct"/>
            <w:shd w:val="clear" w:color="auto" w:fill="auto"/>
            <w:vAlign w:val="center"/>
          </w:tcPr>
          <w:p>
            <w:pPr>
              <w:pStyle w:val="13"/>
              <w:keepNext w:val="0"/>
              <w:keepLines w:val="0"/>
              <w:pageBreakBefore w:val="0"/>
              <w:widowControl w:val="0"/>
              <w:numPr>
                <w:ilvl w:val="0"/>
                <w:numId w:val="19"/>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管理员登录后台可查看用户的留言信息并对信息进行回复。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7.7消息通知</w:t>
            </w:r>
          </w:p>
        </w:tc>
        <w:tc>
          <w:tcPr>
            <w:tcW w:w="2937" w:type="pct"/>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afterLines="0"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系统支持推送消息通知，管理员可通过智能助手发送通知；用户可以接收系统公告。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restart"/>
            <w:shd w:val="clear" w:color="auto" w:fill="auto"/>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绩效发放功能需求</w:t>
            </w: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bCs/>
                <w:sz w:val="22"/>
                <w:szCs w:val="22"/>
                <w:highlight w:val="none"/>
                <w:lang w:val="en-US" w:eastAsia="zh-CN"/>
              </w:rPr>
            </w:pPr>
            <w:r>
              <w:rPr>
                <w:rFonts w:hint="eastAsia" w:ascii="宋体" w:hAnsi="宋体" w:eastAsia="宋体" w:cs="宋体"/>
                <w:sz w:val="22"/>
                <w:szCs w:val="22"/>
              </w:rPr>
              <w:t>8.1基础档案设置</w:t>
            </w:r>
          </w:p>
        </w:tc>
        <w:tc>
          <w:tcPr>
            <w:tcW w:w="2937" w:type="pct"/>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afterLines="0"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rPr>
              <w:t>实现绩效发放相关基本档案信息的维护，例如经管科室档案、绩效来源类型档案、绩效类型档案；支持按 Excel 模板进行导入以及导出。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8.2额度分配</w:t>
            </w:r>
          </w:p>
        </w:tc>
        <w:tc>
          <w:tcPr>
            <w:tcW w:w="2937" w:type="pct"/>
            <w:shd w:val="clear" w:color="auto" w:fill="auto"/>
            <w:vAlign w:val="center"/>
          </w:tcPr>
          <w:p>
            <w:pPr>
              <w:keepNext w:val="0"/>
              <w:keepLines w:val="0"/>
              <w:pageBreakBefore w:val="0"/>
              <w:widowControl w:val="0"/>
              <w:numPr>
                <w:ilvl w:val="0"/>
                <w:numId w:val="20"/>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color w:val="000000"/>
                <w:sz w:val="22"/>
                <w:szCs w:val="22"/>
                <w:lang w:val="en-US" w:eastAsia="zh-CN"/>
              </w:rPr>
              <w:t xml:space="preserve">实现在系统中每月对各科室奖金来源数据进行分配；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0"/>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color w:val="000000"/>
                <w:sz w:val="22"/>
                <w:szCs w:val="22"/>
                <w:lang w:val="en-US" w:eastAsia="zh-CN"/>
              </w:rPr>
              <w:t>支持对分配的额度进行调整，实现调整额度时对科室可用额度的校验。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8.3绩效申报</w:t>
            </w:r>
          </w:p>
        </w:tc>
        <w:tc>
          <w:tcPr>
            <w:tcW w:w="2937" w:type="pct"/>
            <w:shd w:val="clear" w:color="auto" w:fill="auto"/>
            <w:vAlign w:val="center"/>
          </w:tcPr>
          <w:p>
            <w:pPr>
              <w:keepNext w:val="0"/>
              <w:keepLines w:val="0"/>
              <w:pageBreakBefore w:val="0"/>
              <w:widowControl w:val="0"/>
              <w:numPr>
                <w:ilvl w:val="0"/>
                <w:numId w:val="21"/>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实现科室绩效发放明细与各项津贴、加班、值班等发放明细的在线申报与审核；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1"/>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实现绩效发放管理与预算管理关联，在绩效、其他津贴发放时，可以受到预算额度的控制，绩效发放后，自动核减预算额度</w:t>
            </w:r>
            <w:r>
              <w:rPr>
                <w:rFonts w:hint="eastAsia" w:ascii="宋体" w:hAnsi="宋体" w:eastAsia="宋体" w:cs="宋体"/>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1"/>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支持打印单据进行存档。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restart"/>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8.4绩效统计</w:t>
            </w:r>
          </w:p>
        </w:tc>
        <w:tc>
          <w:tcPr>
            <w:tcW w:w="2937" w:type="pct"/>
            <w:shd w:val="clear" w:color="auto" w:fill="auto"/>
            <w:vAlign w:val="center"/>
          </w:tcPr>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afterLines="0"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kern w:val="2"/>
                <w:sz w:val="22"/>
                <w:szCs w:val="22"/>
                <w:lang w:val="en-US" w:eastAsia="zh-CN" w:bidi="ar-SA"/>
              </w:rPr>
              <w:t>实现各项数据的交互与汇总统计，提高数据准确性，提升工作效率；支持绩效应发数据的导出，以便导入到对应的薪酬模块合并计税。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2"/>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支持统计各经管科室每月的各绩效来源类型的额度情况，包括总额、调整以及余额等；相关经改员可查询科室权限范围内的数据。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2"/>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支持统计每月、每人、每种绩效类型的应发金额合计。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vMerge w:val="continue"/>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rPr>
            </w:pPr>
          </w:p>
        </w:tc>
        <w:tc>
          <w:tcPr>
            <w:tcW w:w="2937" w:type="pct"/>
            <w:shd w:val="clear" w:color="auto" w:fill="auto"/>
            <w:vAlign w:val="center"/>
          </w:tcPr>
          <w:p>
            <w:pPr>
              <w:keepNext w:val="0"/>
              <w:keepLines w:val="0"/>
              <w:pageBreakBefore w:val="0"/>
              <w:widowControl w:val="0"/>
              <w:numPr>
                <w:ilvl w:val="0"/>
                <w:numId w:val="22"/>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支持统计每月、每个申报部门、每种绩效类型的应发金额合计；便于财务绩效管理员根据此表进行记账处理。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820" w:type="pct"/>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8.5绩效查询</w:t>
            </w:r>
          </w:p>
        </w:tc>
        <w:tc>
          <w:tcPr>
            <w:tcW w:w="2937" w:type="pct"/>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0" w:afterLines="0" w:line="360" w:lineRule="auto"/>
              <w:ind w:left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实现全院职工在线实时查询绩效及各类报酬的表状、条状PC及移动端汇总、明细数据，提升财务服务水平。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restart"/>
            <w:shd w:val="clear" w:color="auto" w:fill="auto"/>
            <w:vAlign w:val="center"/>
          </w:tcPr>
          <w:p>
            <w:pPr>
              <w:pStyle w:val="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restart"/>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系统接口</w:t>
            </w:r>
          </w:p>
        </w:tc>
        <w:tc>
          <w:tcPr>
            <w:tcW w:w="3758" w:type="pct"/>
            <w:gridSpan w:val="3"/>
            <w:shd w:val="clear" w:color="auto" w:fill="auto"/>
            <w:vAlign w:val="center"/>
          </w:tcPr>
          <w:p>
            <w:pPr>
              <w:keepNext w:val="0"/>
              <w:keepLines w:val="0"/>
              <w:pageBreakBefore w:val="0"/>
              <w:widowControl w:val="0"/>
              <w:numPr>
                <w:ilvl w:val="0"/>
                <w:numId w:val="23"/>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支持获取HIS门诊收入日报表、HIS住院收入日报表、HIS预交金报表，进行账务处理，同时进行收入预算的预算执行。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4" w:type="pct"/>
            <w:vMerge w:val="continue"/>
            <w:shd w:val="clear" w:color="auto" w:fill="auto"/>
            <w:vAlign w:val="center"/>
          </w:tcPr>
          <w:p>
            <w:pPr>
              <w:pStyle w:val="13"/>
              <w:jc w:val="center"/>
              <w:rPr>
                <w:rFonts w:hint="eastAsia" w:ascii="宋体" w:hAnsi="宋体" w:eastAsia="宋体" w:cs="宋体"/>
                <w:sz w:val="24"/>
                <w:szCs w:val="24"/>
                <w:lang w:val="en-US" w:eastAsia="zh-CN"/>
              </w:rPr>
            </w:pPr>
          </w:p>
        </w:tc>
        <w:tc>
          <w:tcPr>
            <w:tcW w:w="571" w:type="pct"/>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95" w:type="pct"/>
            <w:vMerge w:val="continue"/>
            <w:shd w:val="clear" w:color="auto" w:fill="auto"/>
            <w:vAlign w:val="center"/>
          </w:tcPr>
          <w:p>
            <w:pPr>
              <w:jc w:val="center"/>
              <w:rPr>
                <w:rFonts w:hint="eastAsia" w:ascii="宋体" w:hAnsi="宋体" w:eastAsia="宋体" w:cs="宋体"/>
                <w:i w:val="0"/>
                <w:iCs w:val="0"/>
                <w:color w:val="000000"/>
                <w:sz w:val="22"/>
                <w:szCs w:val="22"/>
                <w:u w:val="none"/>
                <w:lang w:val="en-US" w:eastAsia="zh-CN"/>
              </w:rPr>
            </w:pPr>
          </w:p>
        </w:tc>
        <w:tc>
          <w:tcPr>
            <w:tcW w:w="3758" w:type="pct"/>
            <w:gridSpan w:val="3"/>
            <w:shd w:val="clear" w:color="auto" w:fill="auto"/>
            <w:vAlign w:val="center"/>
          </w:tcPr>
          <w:p>
            <w:pPr>
              <w:keepNext w:val="0"/>
              <w:keepLines w:val="0"/>
              <w:pageBreakBefore w:val="0"/>
              <w:widowControl w:val="0"/>
              <w:numPr>
                <w:ilvl w:val="0"/>
                <w:numId w:val="23"/>
              </w:numPr>
              <w:suppressLineNumbers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支持对接原</w:t>
            </w:r>
            <w:r>
              <w:rPr>
                <w:rFonts w:hint="eastAsia" w:ascii="宋体" w:hAnsi="宋体" w:cs="宋体"/>
                <w:color w:val="000000"/>
                <w:sz w:val="22"/>
                <w:szCs w:val="22"/>
                <w:lang w:val="en-US" w:eastAsia="zh-CN"/>
              </w:rPr>
              <w:t>财务综合服务</w:t>
            </w:r>
            <w:r>
              <w:rPr>
                <w:rFonts w:hint="eastAsia" w:ascii="宋体" w:hAnsi="宋体" w:eastAsia="宋体" w:cs="宋体"/>
                <w:color w:val="000000"/>
                <w:sz w:val="22"/>
                <w:szCs w:val="22"/>
                <w:lang w:val="en-US" w:eastAsia="zh-CN"/>
              </w:rPr>
              <w:t>平台相关主数据，包括但不限于部门档案、人员档案、项目类别档案、项目档案、对方单位档案、业务事项档案、预算科目档案、各类标准档案、各类对照档案、会计科目档案。</w:t>
            </w:r>
          </w:p>
        </w:tc>
      </w:tr>
    </w:tbl>
    <w:p>
      <w:pPr>
        <w:rPr>
          <w:rFonts w:hint="eastAsia" w:ascii="宋体" w:hAnsi="宋体" w:eastAsia="宋体" w:cs="宋体"/>
          <w:lang w:val="en-US" w:eastAsia="zh-CN"/>
        </w:rPr>
      </w:pPr>
    </w:p>
    <w:p>
      <w:pPr>
        <w:rPr>
          <w:rFonts w:hint="eastAsia" w:ascii="宋体" w:hAnsi="宋体" w:eastAsia="宋体" w:cs="宋体"/>
        </w:rPr>
      </w:pPr>
      <w:r>
        <w:rPr>
          <w:rFonts w:hint="eastAsia" w:ascii="宋体" w:hAnsi="宋体" w:eastAsia="宋体" w:cs="宋体"/>
          <w:lang w:val="en-US" w:eastAsia="zh-CN"/>
        </w:rPr>
        <w:br w:type="page"/>
      </w:r>
    </w:p>
    <w:p>
      <w:pPr>
        <w:pStyle w:val="2"/>
        <w:bidi w:val="0"/>
        <w:ind w:left="0" w:leftChars="0" w:firstLine="0" w:firstLineChars="0"/>
        <w:rPr>
          <w:rFonts w:hint="eastAsia" w:ascii="宋体" w:hAnsi="宋体" w:eastAsia="宋体" w:cs="宋体"/>
        </w:rPr>
      </w:pPr>
      <w:bookmarkStart w:id="4" w:name="_Toc20857"/>
      <w:r>
        <w:rPr>
          <w:rFonts w:hint="eastAsia" w:ascii="宋体" w:hAnsi="宋体" w:eastAsia="宋体" w:cs="宋体"/>
          <w:lang w:val="en-US" w:eastAsia="zh-CN"/>
        </w:rPr>
        <w:t>商务条款</w:t>
      </w:r>
      <w:bookmarkEnd w:id="4"/>
    </w:p>
    <w:p>
      <w:pPr>
        <w:keepNext w:val="0"/>
        <w:keepLines w:val="0"/>
        <w:pageBreakBefore w:val="0"/>
        <w:widowControl w:val="0"/>
        <w:numPr>
          <w:ilvl w:val="0"/>
          <w:numId w:val="24"/>
        </w:numPr>
        <w:kinsoku/>
        <w:wordWrap/>
        <w:overflowPunct/>
        <w:topLinePunct w:val="0"/>
        <w:autoSpaceDE/>
        <w:autoSpaceDN/>
        <w:bidi w:val="0"/>
        <w:adjustRightInd/>
        <w:snapToGrid/>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本次项目中涉及的系统软件须至少提供原厂</w:t>
      </w:r>
      <w:r>
        <w:rPr>
          <w:rFonts w:hint="eastAsia" w:ascii="宋体" w:hAnsi="宋体" w:eastAsia="宋体" w:cs="宋体"/>
          <w:sz w:val="24"/>
          <w:szCs w:val="24"/>
          <w:lang w:val="en-US" w:eastAsia="zh-CN"/>
        </w:rPr>
        <w:t>叁</w:t>
      </w:r>
      <w:r>
        <w:rPr>
          <w:rFonts w:hint="eastAsia" w:ascii="宋体" w:hAnsi="宋体" w:eastAsia="宋体" w:cs="宋体"/>
          <w:sz w:val="24"/>
          <w:szCs w:val="24"/>
        </w:rPr>
        <w:t>年质保服务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自项目验收之日起</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w:t>
      </w:r>
    </w:p>
    <w:p>
      <w:pPr>
        <w:keepNext w:val="0"/>
        <w:keepLines w:val="0"/>
        <w:pageBreakBefore w:val="0"/>
        <w:widowControl w:val="0"/>
        <w:numPr>
          <w:ilvl w:val="0"/>
          <w:numId w:val="24"/>
        </w:numPr>
        <w:kinsoku/>
        <w:wordWrap/>
        <w:overflowPunct/>
        <w:topLinePunct w:val="0"/>
        <w:autoSpaceDE/>
        <w:autoSpaceDN/>
        <w:bidi w:val="0"/>
        <w:adjustRightInd/>
        <w:snapToGrid/>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r>
        <w:rPr>
          <w:rFonts w:hint="eastAsia" w:ascii="宋体" w:hAnsi="宋体" w:eastAsia="宋体" w:cs="宋体"/>
          <w:sz w:val="24"/>
          <w:szCs w:val="24"/>
        </w:rPr>
        <w:t>人负责项目相关设备软件的安装、调试及上线，招标单位予以配合。</w:t>
      </w:r>
    </w:p>
    <w:p>
      <w:pPr>
        <w:keepNext w:val="0"/>
        <w:keepLines w:val="0"/>
        <w:pageBreakBefore w:val="0"/>
        <w:widowControl w:val="0"/>
        <w:numPr>
          <w:ilvl w:val="0"/>
          <w:numId w:val="24"/>
        </w:numPr>
        <w:kinsoku/>
        <w:wordWrap/>
        <w:overflowPunct/>
        <w:topLinePunct w:val="0"/>
        <w:autoSpaceDE/>
        <w:autoSpaceDN/>
        <w:bidi w:val="0"/>
        <w:adjustRightInd/>
        <w:snapToGrid/>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报价</w:t>
      </w:r>
      <w:r>
        <w:rPr>
          <w:rFonts w:hint="eastAsia" w:ascii="宋体" w:hAnsi="宋体" w:eastAsia="宋体" w:cs="宋体"/>
          <w:sz w:val="24"/>
          <w:szCs w:val="24"/>
        </w:rPr>
        <w:t>人负责与医院现有系统的对接，但不承担第三方收取的因对接工作收取的接口费</w:t>
      </w:r>
      <w:r>
        <w:rPr>
          <w:rFonts w:hint="eastAsia" w:ascii="宋体" w:hAnsi="宋体" w:eastAsia="宋体" w:cs="宋体"/>
          <w:sz w:val="24"/>
          <w:szCs w:val="24"/>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报价</w:t>
      </w:r>
      <w:r>
        <w:rPr>
          <w:rFonts w:hint="eastAsia" w:ascii="宋体" w:hAnsi="宋体" w:eastAsia="宋体" w:cs="宋体"/>
          <w:sz w:val="24"/>
          <w:szCs w:val="24"/>
        </w:rPr>
        <w:t>人有良好的售后服务能力，需提供全年7天24小时服务（电话、远程或现场），并在接到招标人通知后</w:t>
      </w:r>
      <w:r>
        <w:rPr>
          <w:rFonts w:hint="eastAsia" w:ascii="宋体" w:hAnsi="宋体" w:eastAsia="宋体" w:cs="宋体"/>
          <w:sz w:val="24"/>
          <w:szCs w:val="24"/>
          <w:lang w:val="en-US" w:eastAsia="zh-CN"/>
        </w:rPr>
        <w:t>2</w:t>
      </w:r>
      <w:r>
        <w:rPr>
          <w:rFonts w:hint="eastAsia" w:ascii="宋体" w:hAnsi="宋体" w:eastAsia="宋体" w:cs="宋体"/>
          <w:sz w:val="24"/>
          <w:szCs w:val="24"/>
        </w:rPr>
        <w:t>4小时内到达现场。项目验收合格后，每年不低于</w:t>
      </w:r>
      <w:r>
        <w:rPr>
          <w:rFonts w:hint="eastAsia" w:ascii="宋体" w:hAnsi="宋体" w:eastAsia="宋体" w:cs="宋体"/>
          <w:sz w:val="24"/>
          <w:szCs w:val="24"/>
          <w:lang w:val="en-US" w:eastAsia="zh-CN"/>
        </w:rPr>
        <w:t>2</w:t>
      </w:r>
      <w:r>
        <w:rPr>
          <w:rFonts w:hint="eastAsia" w:ascii="宋体" w:hAnsi="宋体" w:eastAsia="宋体" w:cs="宋体"/>
          <w:sz w:val="24"/>
          <w:szCs w:val="24"/>
        </w:rPr>
        <w:t>次的例行维护及巡检。</w:t>
      </w:r>
    </w:p>
    <w:p>
      <w:pPr>
        <w:keepNext w:val="0"/>
        <w:keepLines w:val="0"/>
        <w:pageBreakBefore w:val="0"/>
        <w:widowControl w:val="0"/>
        <w:numPr>
          <w:ilvl w:val="0"/>
          <w:numId w:val="24"/>
        </w:numPr>
        <w:kinsoku/>
        <w:wordWrap/>
        <w:overflowPunct/>
        <w:topLinePunct w:val="0"/>
        <w:autoSpaceDE/>
        <w:autoSpaceDN/>
        <w:bidi w:val="0"/>
        <w:adjustRightInd/>
        <w:snapToGrid/>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培训：根据医院的情况制定相关培训方案，课程设置等。所有的培训费用必须计入</w:t>
      </w:r>
      <w:r>
        <w:rPr>
          <w:rFonts w:hint="eastAsia" w:ascii="宋体" w:hAnsi="宋体" w:eastAsia="宋体" w:cs="宋体"/>
          <w:sz w:val="24"/>
          <w:szCs w:val="24"/>
          <w:lang w:val="en-US" w:eastAsia="zh-CN"/>
        </w:rPr>
        <w:t>报价</w:t>
      </w:r>
      <w:r>
        <w:rPr>
          <w:rFonts w:hint="eastAsia" w:ascii="宋体" w:hAnsi="宋体" w:eastAsia="宋体" w:cs="宋体"/>
          <w:sz w:val="24"/>
          <w:szCs w:val="24"/>
        </w:rPr>
        <w:t>总价。</w:t>
      </w:r>
    </w:p>
    <w:p>
      <w:pPr>
        <w:pStyle w:val="2"/>
        <w:bidi w:val="0"/>
        <w:ind w:left="0" w:leftChars="0" w:firstLine="0" w:firstLineChars="0"/>
        <w:rPr>
          <w:rFonts w:hint="eastAsia" w:ascii="宋体" w:hAnsi="宋体" w:eastAsia="宋体" w:cs="宋体"/>
        </w:rPr>
      </w:pPr>
      <w:bookmarkStart w:id="5" w:name="_Toc8083"/>
      <w:r>
        <w:rPr>
          <w:rFonts w:hint="eastAsia" w:ascii="宋体" w:hAnsi="宋体" w:eastAsia="宋体" w:cs="宋体"/>
        </w:rPr>
        <w:t>评分标准</w:t>
      </w:r>
      <w:bookmarkEnd w:id="5"/>
    </w:p>
    <w:p>
      <w:pPr>
        <w:pStyle w:val="3"/>
        <w:bidi w:val="0"/>
        <w:rPr>
          <w:rFonts w:hint="eastAsia" w:ascii="宋体" w:hAnsi="宋体" w:eastAsia="宋体" w:cs="宋体"/>
        </w:rPr>
      </w:pPr>
      <w:bookmarkStart w:id="6" w:name="_Toc20345"/>
      <w:r>
        <w:rPr>
          <w:rFonts w:hint="eastAsia" w:ascii="宋体" w:hAnsi="宋体" w:eastAsia="宋体" w:cs="宋体"/>
        </w:rPr>
        <w:t>评标方法</w:t>
      </w:r>
      <w:bookmarkEnd w:id="6"/>
    </w:p>
    <w:p>
      <w:pPr>
        <w:ind w:firstLine="480"/>
        <w:rPr>
          <w:rFonts w:hint="eastAsia" w:ascii="宋体" w:hAnsi="宋体" w:eastAsia="宋体" w:cs="宋体"/>
          <w:sz w:val="24"/>
          <w:szCs w:val="24"/>
        </w:rPr>
      </w:pPr>
      <w:r>
        <w:rPr>
          <w:rFonts w:hint="eastAsia" w:ascii="宋体" w:hAnsi="宋体" w:eastAsia="宋体" w:cs="宋体"/>
          <w:sz w:val="24"/>
          <w:szCs w:val="24"/>
        </w:rPr>
        <w:t>本次评标采用综合评分法，</w:t>
      </w:r>
      <w:r>
        <w:rPr>
          <w:rFonts w:hint="eastAsia" w:ascii="宋体" w:hAnsi="宋体" w:eastAsia="宋体" w:cs="宋体"/>
          <w:sz w:val="24"/>
          <w:szCs w:val="24"/>
          <w:lang w:val="en-US" w:eastAsia="zh-CN"/>
        </w:rPr>
        <w:t>报价</w:t>
      </w:r>
      <w:r>
        <w:rPr>
          <w:rFonts w:hint="eastAsia" w:ascii="宋体" w:hAnsi="宋体" w:eastAsia="宋体" w:cs="宋体"/>
          <w:sz w:val="24"/>
          <w:szCs w:val="24"/>
        </w:rPr>
        <w:t>文件满足招标文件全部实质性要求且按照评审因素的量化指标评审得分最高的</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人</w:t>
      </w:r>
      <w:r>
        <w:rPr>
          <w:rFonts w:hint="eastAsia" w:ascii="宋体" w:hAnsi="宋体" w:eastAsia="宋体" w:cs="宋体"/>
          <w:sz w:val="24"/>
          <w:szCs w:val="24"/>
        </w:rPr>
        <w:t>为中标候选人。</w:t>
      </w:r>
    </w:p>
    <w:p>
      <w:pPr>
        <w:pStyle w:val="3"/>
        <w:bidi w:val="0"/>
        <w:rPr>
          <w:rFonts w:hint="eastAsia" w:ascii="宋体" w:hAnsi="宋体" w:eastAsia="宋体" w:cs="宋体"/>
        </w:rPr>
      </w:pPr>
      <w:bookmarkStart w:id="7" w:name="_Toc11995"/>
      <w:r>
        <w:rPr>
          <w:rFonts w:hint="eastAsia" w:ascii="宋体" w:hAnsi="宋体" w:eastAsia="宋体" w:cs="宋体"/>
        </w:rPr>
        <w:t>评分标准</w:t>
      </w:r>
      <w:bookmarkEnd w:id="7"/>
    </w:p>
    <w:p>
      <w:pPr>
        <w:ind w:firstLine="480"/>
        <w:rPr>
          <w:rFonts w:hint="eastAsia" w:ascii="宋体" w:hAnsi="宋体" w:eastAsia="宋体" w:cs="宋体"/>
          <w:sz w:val="24"/>
          <w:szCs w:val="24"/>
        </w:rPr>
      </w:pPr>
      <w:r>
        <w:rPr>
          <w:rFonts w:hint="eastAsia" w:ascii="宋体" w:hAnsi="宋体" w:eastAsia="宋体" w:cs="宋体"/>
          <w:sz w:val="24"/>
          <w:szCs w:val="24"/>
        </w:rPr>
        <w:t>共100分，其中商务技术分</w:t>
      </w:r>
      <w:r>
        <w:rPr>
          <w:rFonts w:hint="eastAsia" w:ascii="宋体" w:hAnsi="宋体" w:eastAsia="宋体" w:cs="宋体"/>
          <w:sz w:val="24"/>
          <w:szCs w:val="24"/>
          <w:lang w:val="en-US" w:eastAsia="zh-CN"/>
        </w:rPr>
        <w:t>9</w:t>
      </w:r>
      <w:r>
        <w:rPr>
          <w:rFonts w:hint="eastAsia" w:ascii="宋体" w:hAnsi="宋体" w:eastAsia="宋体" w:cs="宋体"/>
          <w:sz w:val="24"/>
          <w:szCs w:val="24"/>
        </w:rPr>
        <w:t>0分，价格分</w:t>
      </w:r>
      <w:r>
        <w:rPr>
          <w:rFonts w:hint="eastAsia" w:ascii="宋体" w:hAnsi="宋体" w:eastAsia="宋体" w:cs="宋体"/>
          <w:sz w:val="24"/>
          <w:szCs w:val="24"/>
          <w:lang w:val="en-US" w:eastAsia="zh-CN"/>
        </w:rPr>
        <w:t>1</w:t>
      </w:r>
      <w:r>
        <w:rPr>
          <w:rFonts w:hint="eastAsia" w:ascii="宋体" w:hAnsi="宋体" w:eastAsia="宋体" w:cs="宋体"/>
          <w:sz w:val="24"/>
          <w:szCs w:val="24"/>
        </w:rPr>
        <w:t>0分。评分依下述所列为评标打分依据。</w:t>
      </w:r>
    </w:p>
    <w:p>
      <w:pPr>
        <w:pStyle w:val="4"/>
        <w:bidi w:val="0"/>
        <w:rPr>
          <w:rFonts w:hint="eastAsia" w:ascii="宋体" w:hAnsi="宋体" w:eastAsia="宋体" w:cs="宋体"/>
        </w:rPr>
      </w:pPr>
      <w:bookmarkStart w:id="8" w:name="_Toc19046"/>
      <w:r>
        <w:rPr>
          <w:rFonts w:hint="eastAsia" w:ascii="宋体" w:hAnsi="宋体" w:eastAsia="宋体" w:cs="宋体"/>
        </w:rPr>
        <w:t>价格分</w:t>
      </w:r>
      <w:r>
        <w:rPr>
          <w:rFonts w:hint="eastAsia" w:ascii="宋体" w:hAnsi="宋体" w:eastAsia="宋体" w:cs="宋体"/>
          <w:lang w:val="en-US" w:eastAsia="zh-CN"/>
        </w:rPr>
        <w:t>1</w:t>
      </w:r>
      <w:r>
        <w:rPr>
          <w:rFonts w:hint="eastAsia" w:ascii="宋体" w:hAnsi="宋体" w:eastAsia="宋体" w:cs="宋体"/>
        </w:rPr>
        <w:t>0分</w:t>
      </w:r>
      <w:bookmarkEnd w:id="8"/>
    </w:p>
    <w:p>
      <w:pPr>
        <w:ind w:firstLine="480"/>
        <w:rPr>
          <w:rFonts w:hint="eastAsia" w:ascii="宋体" w:hAnsi="宋体" w:eastAsia="宋体" w:cs="宋体"/>
          <w:sz w:val="24"/>
          <w:szCs w:val="24"/>
        </w:rPr>
      </w:pPr>
      <w:r>
        <w:rPr>
          <w:rFonts w:hint="eastAsia" w:ascii="宋体" w:hAnsi="宋体" w:eastAsia="宋体" w:cs="宋体"/>
          <w:sz w:val="24"/>
          <w:szCs w:val="24"/>
        </w:rPr>
        <w:t>不超过采购预算，满足</w:t>
      </w:r>
      <w:r>
        <w:rPr>
          <w:rFonts w:hint="eastAsia" w:ascii="宋体" w:hAnsi="宋体" w:eastAsia="宋体" w:cs="宋体"/>
          <w:sz w:val="24"/>
          <w:szCs w:val="24"/>
          <w:lang w:val="en-US" w:eastAsia="zh-CN"/>
        </w:rPr>
        <w:t>比选</w:t>
      </w:r>
      <w:r>
        <w:rPr>
          <w:rFonts w:hint="eastAsia" w:ascii="宋体" w:hAnsi="宋体" w:eastAsia="宋体" w:cs="宋体"/>
          <w:sz w:val="24"/>
          <w:szCs w:val="24"/>
        </w:rPr>
        <w:t>文件要求且有效最终评审价格最低的为基准价。</w:t>
      </w:r>
    </w:p>
    <w:p>
      <w:pPr>
        <w:ind w:firstLine="480"/>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人</w:t>
      </w:r>
      <w:r>
        <w:rPr>
          <w:rFonts w:hint="eastAsia" w:ascii="宋体" w:hAnsi="宋体" w:eastAsia="宋体" w:cs="宋体"/>
          <w:sz w:val="24"/>
          <w:szCs w:val="24"/>
        </w:rPr>
        <w:t>的价格分统一按照下列公式计算：</w:t>
      </w:r>
    </w:p>
    <w:p>
      <w:pPr>
        <w:ind w:firstLine="482"/>
        <w:rPr>
          <w:rFonts w:hint="eastAsia" w:ascii="宋体" w:hAnsi="宋体" w:eastAsia="宋体" w:cs="宋体"/>
          <w:b/>
          <w:sz w:val="24"/>
          <w:szCs w:val="24"/>
        </w:rPr>
      </w:pPr>
      <w:r>
        <w:rPr>
          <w:rFonts w:hint="eastAsia" w:ascii="宋体" w:hAnsi="宋体" w:eastAsia="宋体" w:cs="宋体"/>
          <w:sz w:val="24"/>
          <w:szCs w:val="24"/>
        </w:rPr>
        <w:t>价格部分得分=基准价/各</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人</w:t>
      </w:r>
      <w:r>
        <w:rPr>
          <w:rFonts w:hint="eastAsia" w:ascii="宋体" w:hAnsi="宋体" w:eastAsia="宋体" w:cs="宋体"/>
          <w:sz w:val="24"/>
          <w:szCs w:val="24"/>
        </w:rPr>
        <w:t>最终评审价格×</w:t>
      </w:r>
      <w:r>
        <w:rPr>
          <w:rFonts w:hint="eastAsia" w:ascii="宋体" w:hAnsi="宋体" w:eastAsia="宋体" w:cs="宋体"/>
          <w:sz w:val="24"/>
          <w:szCs w:val="24"/>
          <w:lang w:val="en-US" w:eastAsia="zh-CN"/>
        </w:rPr>
        <w:t>1</w:t>
      </w:r>
      <w:r>
        <w:rPr>
          <w:rFonts w:hint="eastAsia" w:ascii="宋体" w:hAnsi="宋体" w:eastAsia="宋体" w:cs="宋体"/>
          <w:sz w:val="24"/>
          <w:szCs w:val="24"/>
        </w:rPr>
        <w:t>0。</w:t>
      </w:r>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bookmarkStart w:id="9" w:name="_Toc30176"/>
      <w:r>
        <w:rPr>
          <w:rFonts w:hint="eastAsia" w:ascii="宋体" w:hAnsi="宋体" w:eastAsia="宋体" w:cs="宋体"/>
        </w:rPr>
        <w:t>商务</w:t>
      </w:r>
      <w:r>
        <w:rPr>
          <w:rFonts w:hint="eastAsia" w:ascii="宋体" w:hAnsi="宋体" w:eastAsia="宋体" w:cs="宋体"/>
          <w:lang w:val="en-US" w:eastAsia="zh-CN"/>
        </w:rPr>
        <w:t>技术</w:t>
      </w:r>
      <w:r>
        <w:rPr>
          <w:rFonts w:hint="eastAsia" w:ascii="宋体" w:hAnsi="宋体" w:eastAsia="宋体" w:cs="宋体"/>
        </w:rPr>
        <w:t>分</w:t>
      </w:r>
      <w:r>
        <w:rPr>
          <w:rFonts w:hint="eastAsia" w:ascii="宋体" w:hAnsi="宋体" w:eastAsia="宋体" w:cs="宋体"/>
          <w:lang w:val="en-US" w:eastAsia="zh-CN"/>
        </w:rPr>
        <w:t>9</w:t>
      </w:r>
      <w:r>
        <w:rPr>
          <w:rFonts w:hint="eastAsia" w:ascii="宋体" w:hAnsi="宋体" w:eastAsia="宋体" w:cs="宋体"/>
        </w:rPr>
        <w:t>0分</w:t>
      </w:r>
      <w:bookmarkEnd w:id="9"/>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62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67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9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报价人或原厂厂家具有有效的企业及产品认证证书，具体如下：</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具有质量管理体系认证证书（ISO</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9001）。提供得1分，未提供得0分。</w:t>
            </w:r>
          </w:p>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具有</w:t>
            </w:r>
            <w:r>
              <w:rPr>
                <w:rFonts w:hint="eastAsia" w:ascii="宋体" w:hAnsi="宋体" w:eastAsia="宋体" w:cs="宋体"/>
                <w:sz w:val="21"/>
                <w:szCs w:val="21"/>
              </w:rPr>
              <w:t>信息</w:t>
            </w:r>
            <w:r>
              <w:rPr>
                <w:rFonts w:hint="eastAsia" w:ascii="宋体" w:hAnsi="宋体" w:eastAsia="宋体" w:cs="宋体"/>
                <w:sz w:val="21"/>
                <w:szCs w:val="21"/>
                <w:lang w:eastAsia="zh-Hans"/>
              </w:rPr>
              <w:t>技术服务管理体系</w:t>
            </w:r>
            <w:r>
              <w:rPr>
                <w:rFonts w:hint="eastAsia" w:ascii="宋体" w:hAnsi="宋体" w:eastAsia="宋体" w:cs="宋体"/>
                <w:sz w:val="21"/>
                <w:szCs w:val="21"/>
              </w:rPr>
              <w:t>认证证书</w:t>
            </w:r>
            <w:r>
              <w:rPr>
                <w:rFonts w:hint="eastAsia" w:ascii="宋体" w:hAnsi="宋体" w:eastAsia="宋体" w:cs="宋体"/>
                <w:sz w:val="21"/>
                <w:szCs w:val="21"/>
                <w:lang w:val="en-US" w:eastAsia="zh-CN"/>
              </w:rPr>
              <w:t>(ISO/IEC 20000)</w:t>
            </w:r>
            <w:r>
              <w:rPr>
                <w:rFonts w:hint="eastAsia" w:ascii="宋体" w:hAnsi="宋体" w:eastAsia="宋体" w:cs="宋体"/>
                <w:b/>
                <w:bCs/>
                <w:sz w:val="21"/>
                <w:szCs w:val="21"/>
              </w:rPr>
              <w:t>。</w:t>
            </w:r>
            <w:r>
              <w:rPr>
                <w:rFonts w:hint="eastAsia" w:ascii="宋体" w:hAnsi="宋体" w:eastAsia="宋体" w:cs="宋体"/>
                <w:sz w:val="21"/>
                <w:szCs w:val="21"/>
              </w:rPr>
              <w:t>提供得1分，未提供得0分。</w:t>
            </w:r>
          </w:p>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具有</w:t>
            </w:r>
            <w:r>
              <w:rPr>
                <w:rFonts w:hint="eastAsia" w:ascii="宋体" w:hAnsi="宋体" w:eastAsia="宋体" w:cs="宋体"/>
                <w:sz w:val="21"/>
                <w:szCs w:val="21"/>
              </w:rPr>
              <w:t>信息安全管理体系认证证书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ISO/IEC 27001</w:t>
            </w:r>
            <w:r>
              <w:rPr>
                <w:rFonts w:hint="eastAsia" w:ascii="宋体" w:hAnsi="宋体" w:eastAsia="宋体" w:cs="宋体"/>
                <w:sz w:val="21"/>
                <w:szCs w:val="21"/>
                <w:lang w:eastAsia="zh-CN"/>
              </w:rPr>
              <w:t>）</w:t>
            </w:r>
            <w:r>
              <w:rPr>
                <w:rFonts w:hint="eastAsia" w:ascii="宋体" w:hAnsi="宋体" w:eastAsia="宋体" w:cs="宋体"/>
                <w:sz w:val="21"/>
                <w:szCs w:val="21"/>
              </w:rPr>
              <w:t>。提供得1分，未提供得0分。</w:t>
            </w:r>
          </w:p>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具有</w:t>
            </w:r>
            <w:r>
              <w:rPr>
                <w:rFonts w:hint="eastAsia" w:ascii="宋体" w:hAnsi="宋体" w:eastAsia="宋体" w:cs="宋体"/>
                <w:sz w:val="21"/>
                <w:szCs w:val="21"/>
              </w:rPr>
              <w:t>CMMI软件成熟度认证证书（</w:t>
            </w:r>
            <w:r>
              <w:rPr>
                <w:rFonts w:hint="eastAsia" w:ascii="宋体" w:hAnsi="宋体" w:eastAsia="宋体" w:cs="宋体"/>
                <w:sz w:val="21"/>
                <w:szCs w:val="21"/>
                <w:lang w:val="en-US" w:eastAsia="zh-CN"/>
              </w:rPr>
              <w:t>3</w:t>
            </w:r>
            <w:r>
              <w:rPr>
                <w:rFonts w:hint="eastAsia" w:ascii="宋体" w:hAnsi="宋体" w:eastAsia="宋体" w:cs="宋体"/>
                <w:sz w:val="21"/>
                <w:szCs w:val="21"/>
              </w:rPr>
              <w:t>级以上，含</w:t>
            </w:r>
            <w:r>
              <w:rPr>
                <w:rFonts w:hint="eastAsia" w:ascii="宋体" w:hAnsi="宋体" w:eastAsia="宋体" w:cs="宋体"/>
                <w:sz w:val="21"/>
                <w:szCs w:val="21"/>
                <w:lang w:val="en-US" w:eastAsia="zh-CN"/>
              </w:rPr>
              <w:t>3</w:t>
            </w:r>
            <w:r>
              <w:rPr>
                <w:rFonts w:hint="eastAsia" w:ascii="宋体" w:hAnsi="宋体" w:eastAsia="宋体" w:cs="宋体"/>
                <w:sz w:val="21"/>
                <w:szCs w:val="21"/>
              </w:rPr>
              <w:t>级），且处于有效状态（复印件加盖公章)。提供得</w:t>
            </w:r>
            <w:r>
              <w:rPr>
                <w:rFonts w:hint="eastAsia" w:ascii="宋体" w:hAnsi="宋体" w:eastAsia="宋体" w:cs="宋体"/>
                <w:sz w:val="21"/>
                <w:szCs w:val="21"/>
                <w:lang w:val="en-US" w:eastAsia="zh-CN"/>
              </w:rPr>
              <w:t>1</w:t>
            </w:r>
            <w:r>
              <w:rPr>
                <w:rFonts w:hint="eastAsia" w:ascii="宋体" w:hAnsi="宋体" w:eastAsia="宋体" w:cs="宋体"/>
                <w:sz w:val="21"/>
                <w:szCs w:val="21"/>
              </w:rPr>
              <w:t>分，未提供得0分</w:t>
            </w:r>
            <w:r>
              <w:rPr>
                <w:rFonts w:hint="eastAsia" w:ascii="宋体" w:hAnsi="宋体" w:eastAsia="宋体" w:cs="宋体"/>
                <w:sz w:val="21"/>
                <w:szCs w:val="21"/>
                <w:lang w:eastAsia="zh-CN"/>
              </w:rPr>
              <w:t>。</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numPr>
                <w:ilvl w:val="0"/>
                <w:numId w:val="0"/>
              </w:numPr>
              <w:suppressLineNumbers w:val="0"/>
              <w:ind w:firstLine="0" w:firstLineChars="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（5）</w:t>
            </w:r>
            <w:r>
              <w:rPr>
                <w:rFonts w:hint="eastAsia" w:ascii="宋体" w:hAnsi="宋体" w:eastAsia="宋体" w:cs="宋体"/>
                <w:sz w:val="21"/>
                <w:szCs w:val="21"/>
                <w:lang w:val="en-US" w:eastAsia="zh-CN"/>
              </w:rPr>
              <w:t>具有创新型企业认定资质</w:t>
            </w:r>
            <w:r>
              <w:rPr>
                <w:rFonts w:hint="eastAsia" w:ascii="宋体" w:hAnsi="宋体" w:eastAsia="宋体" w:cs="宋体"/>
                <w:b w:val="0"/>
                <w:bCs w:val="0"/>
                <w:sz w:val="21"/>
                <w:szCs w:val="21"/>
                <w:lang w:val="en-US" w:eastAsia="zh-CN"/>
              </w:rPr>
              <w:t>（复印件加盖公章)</w:t>
            </w:r>
            <w:r>
              <w:rPr>
                <w:rFonts w:hint="eastAsia" w:ascii="宋体" w:hAnsi="宋体" w:eastAsia="宋体" w:cs="宋体"/>
                <w:sz w:val="21"/>
                <w:szCs w:val="21"/>
                <w:lang w:val="en-US" w:eastAsia="zh-CN"/>
              </w:rPr>
              <w:t>，有能力对招标人现有</w:t>
            </w:r>
            <w:r>
              <w:rPr>
                <w:rFonts w:hint="eastAsia" w:ascii="宋体" w:hAnsi="宋体" w:eastAsia="宋体" w:cs="宋体"/>
                <w:sz w:val="21"/>
                <w:szCs w:val="21"/>
              </w:rPr>
              <w:t>业务模式</w:t>
            </w:r>
            <w:r>
              <w:rPr>
                <w:rFonts w:hint="eastAsia" w:ascii="宋体" w:hAnsi="宋体" w:eastAsia="宋体" w:cs="宋体"/>
                <w:sz w:val="21"/>
                <w:szCs w:val="21"/>
                <w:lang w:val="en-US" w:eastAsia="zh-CN"/>
              </w:rPr>
              <w:t>进行</w:t>
            </w:r>
            <w:r>
              <w:rPr>
                <w:rFonts w:hint="eastAsia" w:ascii="宋体" w:hAnsi="宋体" w:eastAsia="宋体" w:cs="宋体"/>
                <w:sz w:val="21"/>
                <w:szCs w:val="21"/>
              </w:rPr>
              <w:t>创新改进。</w:t>
            </w:r>
            <w:r>
              <w:rPr>
                <w:rFonts w:hint="eastAsia" w:ascii="宋体" w:hAnsi="宋体" w:eastAsia="宋体" w:cs="宋体"/>
                <w:b w:val="0"/>
                <w:bCs w:val="0"/>
                <w:sz w:val="21"/>
                <w:szCs w:val="21"/>
                <w:lang w:val="en-US" w:eastAsia="zh-CN"/>
              </w:rPr>
              <w:t>提供证书2分，未提供得0分。</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ascii="宋体" w:hAnsi="宋体" w:eastAsia="宋体" w:cs="宋体"/>
                <w:sz w:val="21"/>
                <w:szCs w:val="21"/>
                <w:lang w:eastAsia="zh-Hans"/>
              </w:rPr>
              <w:t>提供本次项目相关的含</w:t>
            </w:r>
            <w:r>
              <w:rPr>
                <w:rFonts w:hint="eastAsia" w:ascii="宋体" w:hAnsi="宋体" w:eastAsia="宋体" w:cs="宋体"/>
                <w:b/>
                <w:bCs/>
                <w:sz w:val="21"/>
                <w:szCs w:val="21"/>
                <w:lang w:val="en-US" w:eastAsia="zh-CN"/>
              </w:rPr>
              <w:t>智慧医院综合管理、</w:t>
            </w:r>
            <w:r>
              <w:rPr>
                <w:rFonts w:hint="eastAsia" w:ascii="宋体" w:hAnsi="宋体" w:eastAsia="宋体" w:cs="宋体"/>
                <w:b/>
                <w:bCs/>
                <w:sz w:val="21"/>
                <w:szCs w:val="21"/>
                <w:highlight w:val="none"/>
                <w:lang w:val="en-US" w:eastAsia="zh-CN"/>
              </w:rPr>
              <w:t>预算管理</w:t>
            </w:r>
            <w:r>
              <w:rPr>
                <w:rFonts w:hint="eastAsia" w:ascii="宋体" w:hAnsi="宋体" w:eastAsia="宋体" w:cs="宋体"/>
                <w:b/>
                <w:bCs/>
                <w:sz w:val="21"/>
                <w:szCs w:val="21"/>
                <w:highlight w:val="none"/>
              </w:rPr>
              <w:t>、网上报销</w:t>
            </w:r>
            <w:r>
              <w:rPr>
                <w:rFonts w:hint="eastAsia" w:ascii="宋体" w:hAnsi="宋体" w:eastAsia="宋体" w:cs="宋体"/>
                <w:b/>
                <w:bCs/>
                <w:sz w:val="21"/>
                <w:szCs w:val="21"/>
                <w:highlight w:val="none"/>
                <w:lang w:val="en-US" w:eastAsia="zh-CN"/>
              </w:rPr>
              <w:t>、移动应用、合同管理、收入管理、绩效发放、业财一体化</w:t>
            </w:r>
            <w:r>
              <w:rPr>
                <w:rFonts w:hint="eastAsia" w:ascii="宋体" w:hAnsi="宋体" w:eastAsia="宋体" w:cs="宋体"/>
                <w:sz w:val="21"/>
                <w:szCs w:val="21"/>
              </w:rPr>
              <w:t>等相关软件著作权</w:t>
            </w:r>
            <w:r>
              <w:rPr>
                <w:rFonts w:hint="eastAsia" w:ascii="宋体" w:hAnsi="宋体" w:eastAsia="宋体" w:cs="宋体"/>
                <w:b w:val="0"/>
                <w:bCs w:val="0"/>
                <w:sz w:val="21"/>
                <w:szCs w:val="21"/>
                <w:lang w:val="en-US" w:eastAsia="zh-CN"/>
              </w:rPr>
              <w:t>（复印件加盖公章)</w:t>
            </w:r>
            <w:r>
              <w:rPr>
                <w:rFonts w:hint="eastAsia" w:ascii="宋体" w:hAnsi="宋体" w:eastAsia="宋体" w:cs="宋体"/>
                <w:sz w:val="21"/>
                <w:szCs w:val="21"/>
              </w:rPr>
              <w:t>，每提供一个得</w:t>
            </w:r>
            <w:r>
              <w:rPr>
                <w:rFonts w:hint="eastAsia" w:ascii="宋体" w:hAnsi="宋体" w:eastAsia="宋体" w:cs="宋体"/>
                <w:sz w:val="21"/>
                <w:szCs w:val="21"/>
                <w:lang w:val="en-US" w:eastAsia="zh-CN"/>
              </w:rPr>
              <w:t>0.5</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6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8"/>
                <w:rFonts w:hint="eastAsia" w:ascii="宋体" w:hAnsi="宋体" w:eastAsia="宋体" w:cs="宋体"/>
                <w:lang w:val="en-US" w:eastAsia="zh-CN" w:bidi="ar"/>
              </w:rPr>
              <w:t>证明</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报价人或原厂厂家须提供近三年（即2022年6月1日以来，以签订合同之日或中标通知书发出之日为准）的同类型建设项目应用案例，每提供一个有效业绩得</w:t>
            </w:r>
            <w:r>
              <w:rPr>
                <w:rStyle w:val="27"/>
                <w:rFonts w:hint="eastAsia" w:ascii="宋体" w:hAnsi="宋体" w:eastAsia="宋体" w:cs="宋体"/>
                <w:lang w:val="en-US" w:eastAsia="zh-CN" w:bidi="ar"/>
              </w:rPr>
              <w:t>2</w:t>
            </w:r>
            <w:r>
              <w:rPr>
                <w:rStyle w:val="28"/>
                <w:rFonts w:hint="eastAsia" w:ascii="宋体" w:hAnsi="宋体" w:eastAsia="宋体" w:cs="宋体"/>
                <w:lang w:val="en-US" w:eastAsia="zh-CN" w:bidi="ar"/>
              </w:rPr>
              <w:t>分，最高得</w:t>
            </w:r>
            <w:r>
              <w:rPr>
                <w:rStyle w:val="27"/>
                <w:rFonts w:hint="eastAsia" w:ascii="宋体" w:hAnsi="宋体" w:eastAsia="宋体" w:cs="宋体"/>
                <w:lang w:val="en-US" w:eastAsia="zh-CN" w:bidi="ar"/>
              </w:rPr>
              <w:t>10</w:t>
            </w:r>
            <w:r>
              <w:rPr>
                <w:rStyle w:val="28"/>
                <w:rFonts w:hint="eastAsia" w:ascii="宋体" w:hAnsi="宋体" w:eastAsia="宋体" w:cs="宋体"/>
                <w:lang w:val="en-US" w:eastAsia="zh-CN" w:bidi="ar"/>
              </w:rPr>
              <w:t>分。（提供中标通知书或合同复印件）。</w:t>
            </w:r>
          </w:p>
        </w:tc>
        <w:tc>
          <w:tcPr>
            <w:tcW w:w="67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7" w:hRule="atLeast"/>
        </w:trPr>
        <w:tc>
          <w:tcPr>
            <w:tcW w:w="6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根据报价人对项目技术要求、功能要求的具体响应情况：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项目完全符合技术要求、满足功能需要，得</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项目部分符合技术要求、满足功能需要，得</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项目基本符合技术要求、符合部分功能需要，得 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完全不符合功能需要，得 0 分。</w:t>
            </w:r>
          </w:p>
        </w:tc>
        <w:tc>
          <w:tcPr>
            <w:tcW w:w="67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69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根据报价人项目组织实施方案的科学性、合理性、规范性和可操作性，包括安装调试、组织机构、工作时间进度表、工作程序和步骤、管理和协调方法等。</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r>
              <w:rPr>
                <w:rStyle w:val="28"/>
                <w:rFonts w:hint="eastAsia" w:ascii="宋体" w:hAnsi="宋体" w:eastAsia="宋体" w:cs="宋体"/>
                <w:lang w:val="en-US" w:eastAsia="zh-CN" w:bidi="ar"/>
              </w:rPr>
              <w:t>项目实施标准规范、实际操作性强，得1</w:t>
            </w:r>
            <w:r>
              <w:rPr>
                <w:rStyle w:val="28"/>
                <w:rFonts w:hint="eastAsia" w:ascii="宋体" w:hAnsi="宋体" w:cs="宋体"/>
                <w:lang w:val="en-US" w:eastAsia="zh-CN" w:bidi="ar"/>
              </w:rPr>
              <w:t>5</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r>
              <w:rPr>
                <w:rStyle w:val="28"/>
                <w:rFonts w:hint="eastAsia" w:ascii="宋体" w:hAnsi="宋体" w:eastAsia="宋体" w:cs="宋体"/>
                <w:lang w:val="en-US" w:eastAsia="zh-CN" w:bidi="ar"/>
              </w:rPr>
              <w:t>项目实施符合规范、实际操作性一般，得</w:t>
            </w:r>
            <w:r>
              <w:rPr>
                <w:rStyle w:val="28"/>
                <w:rFonts w:hint="eastAsia" w:ascii="宋体" w:hAnsi="宋体" w:cs="宋体"/>
                <w:lang w:val="en-US" w:eastAsia="zh-CN" w:bidi="ar"/>
              </w:rPr>
              <w:t>10</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r>
              <w:rPr>
                <w:rStyle w:val="28"/>
                <w:rFonts w:hint="eastAsia" w:ascii="宋体" w:hAnsi="宋体" w:eastAsia="宋体" w:cs="宋体"/>
                <w:lang w:val="en-US" w:eastAsia="zh-CN" w:bidi="ar"/>
              </w:rPr>
              <w:t>项目实施基本规范、实际操作性弱，得</w:t>
            </w:r>
            <w:r>
              <w:rPr>
                <w:rStyle w:val="28"/>
                <w:rFonts w:hint="eastAsia" w:ascii="宋体" w:hAnsi="宋体" w:cs="宋体"/>
                <w:lang w:val="en-US" w:eastAsia="zh-CN" w:bidi="ar"/>
              </w:rPr>
              <w:t>5</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完全不符合或</w:t>
            </w:r>
            <w:r>
              <w:rPr>
                <w:rStyle w:val="28"/>
                <w:rFonts w:hint="eastAsia" w:ascii="宋体" w:hAnsi="宋体" w:eastAsia="宋体" w:cs="宋体"/>
                <w:lang w:val="en-US" w:eastAsia="zh-CN" w:bidi="ar"/>
              </w:rPr>
              <w:t xml:space="preserve">没有提供，得 </w:t>
            </w:r>
            <w:r>
              <w:rPr>
                <w:rStyle w:val="27"/>
                <w:rFonts w:hint="eastAsia" w:ascii="宋体" w:hAnsi="宋体" w:eastAsia="宋体" w:cs="宋体"/>
                <w:lang w:val="en-US" w:eastAsia="zh-CN" w:bidi="ar"/>
              </w:rPr>
              <w:t xml:space="preserve">0 </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69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项目团队</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报价人拟派的现场项目经理具有</w:t>
            </w:r>
            <w:r>
              <w:rPr>
                <w:rStyle w:val="27"/>
                <w:rFonts w:hint="eastAsia" w:ascii="宋体" w:hAnsi="宋体" w:eastAsia="宋体" w:cs="宋体"/>
                <w:lang w:val="en-US" w:eastAsia="zh-CN" w:bidi="ar"/>
              </w:rPr>
              <w:t>PMP</w:t>
            </w:r>
            <w:r>
              <w:rPr>
                <w:rStyle w:val="28"/>
                <w:rFonts w:hint="eastAsia" w:ascii="宋体" w:hAnsi="宋体" w:eastAsia="宋体" w:cs="宋体"/>
                <w:lang w:val="en-US" w:eastAsia="zh-CN" w:bidi="ar"/>
              </w:rPr>
              <w:t>认证证书，并提供</w:t>
            </w:r>
            <w:r>
              <w:rPr>
                <w:rStyle w:val="27"/>
                <w:rFonts w:hint="eastAsia" w:ascii="宋体" w:hAnsi="宋体" w:eastAsia="宋体" w:cs="宋体"/>
                <w:lang w:val="en-US" w:eastAsia="zh-CN" w:bidi="ar"/>
              </w:rPr>
              <w:t>3</w:t>
            </w:r>
            <w:r>
              <w:rPr>
                <w:rStyle w:val="28"/>
                <w:rFonts w:hint="eastAsia" w:ascii="宋体" w:hAnsi="宋体" w:eastAsia="宋体" w:cs="宋体"/>
                <w:lang w:val="en-US" w:eastAsia="zh-CN" w:bidi="ar"/>
              </w:rPr>
              <w:t>份过往同类经验的验收报告，完全满足得4分，否则不得分。</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报价文件中提供证明资料（有效期内）的原件扫描件及报价人近半年为其缴纳社保证明原件扫描件，以上内容须同时具备，否则不予认可。</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原厂厂家拟派的项目组其他技术成员结构合理：</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Style w:val="28"/>
                <w:rFonts w:hint="eastAsia" w:ascii="宋体" w:hAnsi="宋体" w:eastAsia="宋体" w:cs="宋体"/>
                <w:lang w:val="en-US" w:eastAsia="zh-CN" w:bidi="ar"/>
              </w:rPr>
              <w:t>、</w:t>
            </w:r>
            <w:r>
              <w:rPr>
                <w:rFonts w:hint="eastAsia" w:ascii="宋体" w:hAnsi="宋体" w:eastAsia="宋体" w:cs="宋体"/>
                <w:sz w:val="21"/>
                <w:szCs w:val="21"/>
              </w:rPr>
              <w:t>项目团队至少应由</w:t>
            </w:r>
            <w:r>
              <w:rPr>
                <w:rFonts w:hint="eastAsia" w:ascii="宋体" w:hAnsi="宋体" w:eastAsia="宋体" w:cs="宋体"/>
                <w:sz w:val="21"/>
                <w:szCs w:val="21"/>
                <w:lang w:val="en-US" w:eastAsia="zh-CN"/>
              </w:rPr>
              <w:t>6</w:t>
            </w:r>
            <w:r>
              <w:rPr>
                <w:rFonts w:hint="eastAsia" w:ascii="宋体" w:hAnsi="宋体" w:eastAsia="宋体" w:cs="宋体"/>
                <w:sz w:val="21"/>
                <w:szCs w:val="21"/>
              </w:rPr>
              <w:t>名人员组成，</w:t>
            </w:r>
            <w:r>
              <w:rPr>
                <w:rFonts w:hint="eastAsia" w:ascii="宋体" w:hAnsi="宋体" w:eastAsia="宋体" w:cs="宋体"/>
                <w:sz w:val="21"/>
                <w:szCs w:val="21"/>
                <w:lang w:val="en-US" w:eastAsia="zh-CN"/>
              </w:rPr>
              <w:t>团队应配置</w:t>
            </w:r>
            <w:r>
              <w:rPr>
                <w:rFonts w:hint="eastAsia" w:ascii="宋体" w:hAnsi="宋体" w:eastAsia="宋体" w:cs="宋体"/>
                <w:sz w:val="21"/>
                <w:szCs w:val="21"/>
              </w:rPr>
              <w:t>项目经理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技术负责人、测试人员、实施人员等角色</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Style w:val="28"/>
                <w:rFonts w:hint="eastAsia" w:ascii="宋体" w:hAnsi="宋体" w:eastAsia="宋体" w:cs="宋体"/>
                <w:lang w:val="en-US" w:eastAsia="zh-CN" w:bidi="ar"/>
              </w:rPr>
              <w:t>、</w:t>
            </w:r>
            <w:r>
              <w:rPr>
                <w:rFonts w:hint="eastAsia" w:ascii="宋体" w:hAnsi="宋体" w:eastAsia="宋体" w:cs="宋体"/>
                <w:sz w:val="21"/>
                <w:szCs w:val="21"/>
                <w:lang w:val="en-US" w:eastAsia="zh-CN"/>
              </w:rPr>
              <w:t>技术负责人具备</w:t>
            </w:r>
            <w:r>
              <w:rPr>
                <w:rFonts w:hint="eastAsia" w:ascii="宋体" w:hAnsi="宋体" w:eastAsia="宋体" w:cs="宋体"/>
                <w:snapToGrid w:val="0"/>
                <w:color w:val="000000"/>
                <w:kern w:val="0"/>
                <w:sz w:val="21"/>
                <w:szCs w:val="21"/>
                <w:lang w:val="en-US" w:eastAsia="zh-CN" w:bidi="ar-SA"/>
              </w:rPr>
              <w:t>计算机技术与软件专业技术资格（中级以上）、国家信息安全水平证书</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pStyle w:val="20"/>
              <w:numPr>
                <w:ilvl w:val="0"/>
                <w:numId w:val="0"/>
              </w:numPr>
              <w:spacing w:after="0" w:line="400" w:lineRule="exact"/>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Style w:val="28"/>
                <w:rFonts w:hint="eastAsia" w:ascii="宋体" w:hAnsi="宋体" w:eastAsia="宋体" w:cs="宋体"/>
                <w:lang w:val="en-US" w:eastAsia="zh-CN" w:bidi="ar"/>
              </w:rPr>
              <w:t>、</w:t>
            </w:r>
            <w:r>
              <w:rPr>
                <w:rFonts w:hint="eastAsia" w:ascii="宋体" w:hAnsi="宋体" w:eastAsia="宋体" w:cs="宋体"/>
                <w:sz w:val="21"/>
                <w:szCs w:val="21"/>
                <w:lang w:eastAsia="zh-Hans"/>
              </w:rPr>
              <w:t>项目团队中</w:t>
            </w:r>
            <w:r>
              <w:rPr>
                <w:rFonts w:hint="eastAsia" w:ascii="宋体" w:hAnsi="宋体" w:eastAsia="宋体" w:cs="宋体"/>
                <w:sz w:val="21"/>
                <w:szCs w:val="21"/>
                <w:lang w:val="en-US" w:eastAsia="zh-CN"/>
              </w:rPr>
              <w:t>除项目经理、技术负责人外，其他人员</w:t>
            </w:r>
            <w:r>
              <w:rPr>
                <w:rFonts w:hint="eastAsia" w:ascii="宋体" w:hAnsi="宋体" w:eastAsia="宋体" w:cs="宋体"/>
                <w:sz w:val="21"/>
                <w:szCs w:val="21"/>
                <w:lang w:eastAsia="zh-Hans"/>
              </w:rPr>
              <w:t>具备注册信息安全工程师</w:t>
            </w:r>
            <w:r>
              <w:rPr>
                <w:rFonts w:hint="eastAsia" w:ascii="宋体" w:hAnsi="宋体" w:eastAsia="宋体" w:cs="宋体"/>
                <w:sz w:val="21"/>
                <w:szCs w:val="21"/>
              </w:rPr>
              <w:t>资格</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全部满足的得6</w:t>
            </w:r>
            <w:r>
              <w:rPr>
                <w:rStyle w:val="28"/>
                <w:rFonts w:hint="eastAsia" w:ascii="宋体" w:hAnsi="宋体" w:eastAsia="宋体" w:cs="宋体"/>
                <w:lang w:val="en-US" w:eastAsia="zh-CN" w:bidi="ar"/>
              </w:rPr>
              <w:t>分，每缺少一项扣2分，扣完为止。 同一人员提供多项证书的，不重复计分。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报价文件中提供证明资料（有效期内）的原件扫描件及原厂厂家近半年为其缴纳社保证明原件扫描件，以上内容须同时具备，否则不予认可。</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69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质量保障措施</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根据报价人提供的系统开发的相关质量保障措施进行评分；</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r>
              <w:rPr>
                <w:rStyle w:val="28"/>
                <w:rFonts w:hint="eastAsia" w:ascii="宋体" w:hAnsi="宋体" w:eastAsia="宋体" w:cs="宋体"/>
                <w:lang w:val="en-US" w:eastAsia="zh-CN" w:bidi="ar"/>
              </w:rPr>
              <w:t>保障措施计划详尽、合理、完善，得</w:t>
            </w:r>
            <w:r>
              <w:rPr>
                <w:rStyle w:val="27"/>
                <w:rFonts w:hint="eastAsia" w:ascii="宋体" w:hAnsi="宋体" w:eastAsia="宋体" w:cs="宋体"/>
                <w:lang w:val="en-US" w:eastAsia="zh-CN" w:bidi="ar"/>
              </w:rPr>
              <w:t>5</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r>
              <w:rPr>
                <w:rStyle w:val="28"/>
                <w:rFonts w:hint="eastAsia" w:ascii="宋体" w:hAnsi="宋体" w:eastAsia="宋体" w:cs="宋体"/>
                <w:lang w:val="en-US" w:eastAsia="zh-CN" w:bidi="ar"/>
              </w:rPr>
              <w:t>保障措施计划较好、基本满足要求，得</w:t>
            </w:r>
            <w:r>
              <w:rPr>
                <w:rStyle w:val="28"/>
                <w:rFonts w:hint="eastAsia" w:ascii="宋体" w:hAnsi="宋体" w:cs="宋体"/>
                <w:lang w:val="en-US" w:eastAsia="zh-CN" w:bidi="ar"/>
              </w:rPr>
              <w:t>3</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r>
              <w:rPr>
                <w:rStyle w:val="28"/>
                <w:rFonts w:hint="eastAsia" w:ascii="宋体" w:hAnsi="宋体" w:eastAsia="宋体" w:cs="宋体"/>
                <w:lang w:val="en-US" w:eastAsia="zh-CN" w:bidi="ar"/>
              </w:rPr>
              <w:t>保障措施计划不完善、不明确，得</w:t>
            </w:r>
            <w:r>
              <w:rPr>
                <w:rStyle w:val="28"/>
                <w:rFonts w:hint="eastAsia" w:ascii="宋体" w:hAnsi="宋体" w:cs="宋体"/>
                <w:lang w:val="en-US" w:eastAsia="zh-CN" w:bidi="ar"/>
              </w:rPr>
              <w:t>1</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r>
              <w:rPr>
                <w:rStyle w:val="28"/>
                <w:rFonts w:hint="eastAsia" w:ascii="宋体" w:hAnsi="宋体" w:eastAsia="宋体" w:cs="宋体"/>
                <w:lang w:val="en-US" w:eastAsia="zh-CN" w:bidi="ar"/>
              </w:rPr>
              <w:t xml:space="preserve">没有提供，得 </w:t>
            </w:r>
            <w:r>
              <w:rPr>
                <w:rStyle w:val="27"/>
                <w:rFonts w:hint="eastAsia" w:ascii="宋体" w:hAnsi="宋体" w:eastAsia="宋体" w:cs="宋体"/>
                <w:lang w:val="en-US" w:eastAsia="zh-CN" w:bidi="ar"/>
              </w:rPr>
              <w:t xml:space="preserve">0 </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9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根据报价人培训计划的科学性、合理性和可操作性，包括对采购人的管理人员、操作人员及维护人员进行培训等承诺情况等内容。</w:t>
            </w:r>
          </w:p>
        </w:tc>
        <w:tc>
          <w:tcPr>
            <w:tcW w:w="678"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r>
              <w:rPr>
                <w:rStyle w:val="28"/>
                <w:rFonts w:hint="eastAsia" w:ascii="宋体" w:hAnsi="宋体" w:eastAsia="宋体" w:cs="宋体"/>
                <w:lang w:val="en-US" w:eastAsia="zh-CN" w:bidi="ar"/>
              </w:rPr>
              <w:t>项目培训计划好、可操作性强，得</w:t>
            </w:r>
            <w:r>
              <w:rPr>
                <w:rStyle w:val="27"/>
                <w:rFonts w:hint="eastAsia" w:ascii="宋体" w:hAnsi="宋体" w:eastAsia="宋体" w:cs="宋体"/>
                <w:lang w:val="en-US" w:eastAsia="zh-CN" w:bidi="ar"/>
              </w:rPr>
              <w:t>5</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r>
              <w:rPr>
                <w:rStyle w:val="28"/>
                <w:rFonts w:hint="eastAsia" w:ascii="宋体" w:hAnsi="宋体" w:eastAsia="宋体" w:cs="宋体"/>
                <w:lang w:val="en-US" w:eastAsia="zh-CN" w:bidi="ar"/>
              </w:rPr>
              <w:t>项目培训计划较好、实际操作性一般，得</w:t>
            </w:r>
            <w:r>
              <w:rPr>
                <w:rStyle w:val="27"/>
                <w:rFonts w:hint="eastAsia" w:ascii="宋体" w:hAnsi="宋体" w:eastAsia="宋体" w:cs="宋体"/>
                <w:lang w:val="en-US" w:eastAsia="zh-CN" w:bidi="ar"/>
              </w:rPr>
              <w:t>3</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r>
              <w:rPr>
                <w:rStyle w:val="28"/>
                <w:rFonts w:hint="eastAsia" w:ascii="宋体" w:hAnsi="宋体" w:eastAsia="宋体" w:cs="宋体"/>
                <w:lang w:val="en-US" w:eastAsia="zh-CN" w:bidi="ar"/>
              </w:rPr>
              <w:t>项目培训计划不完善、实际操作性弱，得1分。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94"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r>
              <w:rPr>
                <w:rStyle w:val="28"/>
                <w:rFonts w:hint="eastAsia" w:ascii="宋体" w:hAnsi="宋体" w:eastAsia="宋体" w:cs="宋体"/>
                <w:lang w:val="en-US" w:eastAsia="zh-CN" w:bidi="ar"/>
              </w:rPr>
              <w:t xml:space="preserve">没有提供，得 </w:t>
            </w:r>
            <w:r>
              <w:rPr>
                <w:rStyle w:val="27"/>
                <w:rFonts w:hint="eastAsia" w:ascii="宋体" w:hAnsi="宋体" w:eastAsia="宋体" w:cs="宋体"/>
                <w:lang w:val="en-US" w:eastAsia="zh-CN" w:bidi="ar"/>
              </w:rPr>
              <w:t xml:space="preserve">0 </w:t>
            </w:r>
            <w:r>
              <w:rPr>
                <w:rStyle w:val="28"/>
                <w:rFonts w:hint="eastAsia" w:ascii="宋体" w:hAnsi="宋体" w:eastAsia="宋体" w:cs="宋体"/>
                <w:lang w:val="en-US" w:eastAsia="zh-CN" w:bidi="ar"/>
              </w:rPr>
              <w:t>分。</w:t>
            </w:r>
          </w:p>
        </w:tc>
        <w:tc>
          <w:tcPr>
            <w:tcW w:w="678" w:type="pct"/>
            <w:vMerge w:val="continue"/>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0" w:hRule="atLeast"/>
        </w:trPr>
        <w:tc>
          <w:tcPr>
            <w:tcW w:w="6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362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根据报价人售后服务的科学性、合理性、规范性和可操作性进行评分，包括具体的售后服务内容、服务规范、故障响应时间、响应方式等内容。</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r>
              <w:rPr>
                <w:rStyle w:val="28"/>
                <w:rFonts w:hint="eastAsia" w:ascii="宋体" w:hAnsi="宋体" w:eastAsia="宋体" w:cs="宋体"/>
                <w:lang w:val="en-US" w:eastAsia="zh-CN" w:bidi="ar"/>
              </w:rPr>
              <w:t>售后服务承诺好、服务方式及内容完整，得</w:t>
            </w:r>
            <w:r>
              <w:rPr>
                <w:rStyle w:val="28"/>
                <w:rFonts w:hint="eastAsia" w:ascii="宋体" w:hAnsi="宋体" w:cs="宋体"/>
                <w:lang w:val="en-US" w:eastAsia="zh-CN" w:bidi="ar"/>
              </w:rPr>
              <w:t>10</w:t>
            </w:r>
            <w:r>
              <w:rPr>
                <w:rStyle w:val="28"/>
                <w:rFonts w:hint="eastAsia" w:ascii="宋体" w:hAnsi="宋体" w:eastAsia="宋体" w:cs="宋体"/>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r>
              <w:rPr>
                <w:rStyle w:val="28"/>
                <w:rFonts w:hint="eastAsia" w:ascii="宋体" w:hAnsi="宋体" w:eastAsia="宋体" w:cs="宋体"/>
                <w:lang w:val="en-US" w:eastAsia="zh-CN" w:bidi="ar"/>
              </w:rPr>
              <w:t>售后服务承诺较好、服务方式及内容一般，得</w:t>
            </w:r>
            <w:r>
              <w:rPr>
                <w:rStyle w:val="28"/>
                <w:rFonts w:hint="eastAsia" w:ascii="宋体" w:hAnsi="宋体" w:cs="宋体"/>
                <w:lang w:val="en-US" w:eastAsia="zh-CN" w:bidi="ar"/>
              </w:rPr>
              <w:t>7</w:t>
            </w:r>
            <w:r>
              <w:rPr>
                <w:rStyle w:val="28"/>
                <w:rFonts w:hint="eastAsia" w:ascii="宋体" w:hAnsi="宋体" w:eastAsia="宋体" w:cs="宋体"/>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r>
              <w:rPr>
                <w:rStyle w:val="28"/>
                <w:rFonts w:hint="eastAsia" w:ascii="宋体" w:hAnsi="宋体" w:eastAsia="宋体" w:cs="宋体"/>
                <w:lang w:val="en-US" w:eastAsia="zh-CN" w:bidi="ar"/>
              </w:rPr>
              <w:t>售后服务承诺不完整、服务方式及内容单一，得</w:t>
            </w:r>
            <w:r>
              <w:rPr>
                <w:rStyle w:val="28"/>
                <w:rFonts w:hint="eastAsia" w:ascii="宋体" w:hAnsi="宋体" w:cs="宋体"/>
                <w:lang w:val="en-US" w:eastAsia="zh-CN" w:bidi="ar"/>
              </w:rPr>
              <w:t>3</w:t>
            </w:r>
            <w:r>
              <w:rPr>
                <w:rStyle w:val="28"/>
                <w:rFonts w:hint="eastAsia" w:ascii="宋体" w:hAnsi="宋体" w:eastAsia="宋体" w:cs="宋体"/>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r>
              <w:rPr>
                <w:rStyle w:val="28"/>
                <w:rFonts w:hint="eastAsia" w:ascii="宋体" w:hAnsi="宋体" w:eastAsia="宋体" w:cs="宋体"/>
                <w:lang w:val="en-US" w:eastAsia="zh-CN" w:bidi="ar"/>
              </w:rPr>
              <w:t xml:space="preserve">没有提供，得 </w:t>
            </w:r>
            <w:r>
              <w:rPr>
                <w:rStyle w:val="27"/>
                <w:rFonts w:hint="eastAsia" w:ascii="宋体" w:hAnsi="宋体" w:eastAsia="宋体" w:cs="宋体"/>
                <w:lang w:val="en-US" w:eastAsia="zh-CN" w:bidi="ar"/>
              </w:rPr>
              <w:t xml:space="preserve">0 </w:t>
            </w:r>
            <w:r>
              <w:rPr>
                <w:rStyle w:val="28"/>
                <w:rFonts w:hint="eastAsia" w:ascii="宋体" w:hAnsi="宋体" w:eastAsia="宋体" w:cs="宋体"/>
                <w:lang w:val="en-US" w:eastAsia="zh-CN" w:bidi="ar"/>
              </w:rPr>
              <w:t>分。</w:t>
            </w:r>
          </w:p>
        </w:tc>
        <w:tc>
          <w:tcPr>
            <w:tcW w:w="67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r>
    </w:tbl>
    <w:p>
      <w:pPr>
        <w:rPr>
          <w:rFonts w:hint="eastAsia" w:ascii="宋体" w:hAnsi="宋体" w:eastAsia="宋体" w:cs="宋体"/>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026B9"/>
    <w:multiLevelType w:val="singleLevel"/>
    <w:tmpl w:val="802026B9"/>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
    <w:nsid w:val="858E2526"/>
    <w:multiLevelType w:val="singleLevel"/>
    <w:tmpl w:val="858E2526"/>
    <w:lvl w:ilvl="0" w:tentative="0">
      <w:start w:val="1"/>
      <w:numFmt w:val="decimalEnclosedCircleChinese"/>
      <w:suff w:val="nothing"/>
      <w:lvlText w:val="%1　"/>
      <w:lvlJc w:val="left"/>
      <w:pPr>
        <w:ind w:left="0" w:firstLine="400"/>
      </w:pPr>
      <w:rPr>
        <w:rFonts w:hint="eastAsia"/>
        <w:sz w:val="22"/>
        <w:szCs w:val="22"/>
      </w:rPr>
    </w:lvl>
  </w:abstractNum>
  <w:abstractNum w:abstractNumId="2">
    <w:nsid w:val="886AE212"/>
    <w:multiLevelType w:val="singleLevel"/>
    <w:tmpl w:val="886AE212"/>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3">
    <w:nsid w:val="89E046FD"/>
    <w:multiLevelType w:val="singleLevel"/>
    <w:tmpl w:val="89E046FD"/>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4">
    <w:nsid w:val="8E039F08"/>
    <w:multiLevelType w:val="singleLevel"/>
    <w:tmpl w:val="8E039F08"/>
    <w:lvl w:ilvl="0" w:tentative="0">
      <w:start w:val="1"/>
      <w:numFmt w:val="decimalEnclosedCircleChinese"/>
      <w:suff w:val="nothing"/>
      <w:lvlText w:val="%1　"/>
      <w:lvlJc w:val="left"/>
      <w:pPr>
        <w:ind w:left="0" w:firstLine="400"/>
      </w:pPr>
      <w:rPr>
        <w:rFonts w:hint="eastAsia"/>
        <w:sz w:val="22"/>
        <w:szCs w:val="22"/>
      </w:rPr>
    </w:lvl>
  </w:abstractNum>
  <w:abstractNum w:abstractNumId="5">
    <w:nsid w:val="91E4DBEA"/>
    <w:multiLevelType w:val="singleLevel"/>
    <w:tmpl w:val="91E4DBEA"/>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6">
    <w:nsid w:val="92928C61"/>
    <w:multiLevelType w:val="singleLevel"/>
    <w:tmpl w:val="92928C61"/>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7">
    <w:nsid w:val="CDEDE744"/>
    <w:multiLevelType w:val="singleLevel"/>
    <w:tmpl w:val="CDEDE744"/>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8">
    <w:nsid w:val="D8F83783"/>
    <w:multiLevelType w:val="singleLevel"/>
    <w:tmpl w:val="D8F83783"/>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9">
    <w:nsid w:val="D96D3AA5"/>
    <w:multiLevelType w:val="singleLevel"/>
    <w:tmpl w:val="D96D3AA5"/>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0">
    <w:nsid w:val="DB2FE187"/>
    <w:multiLevelType w:val="singleLevel"/>
    <w:tmpl w:val="DB2FE187"/>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1">
    <w:nsid w:val="E4C07644"/>
    <w:multiLevelType w:val="singleLevel"/>
    <w:tmpl w:val="E4C07644"/>
    <w:lvl w:ilvl="0" w:tentative="0">
      <w:start w:val="1"/>
      <w:numFmt w:val="decimalEnclosedCircleChinese"/>
      <w:suff w:val="nothing"/>
      <w:lvlText w:val="%1　"/>
      <w:lvlJc w:val="left"/>
      <w:pPr>
        <w:ind w:left="0" w:firstLine="400"/>
      </w:pPr>
      <w:rPr>
        <w:rFonts w:hint="eastAsia"/>
        <w:sz w:val="22"/>
        <w:szCs w:val="22"/>
      </w:rPr>
    </w:lvl>
  </w:abstractNum>
  <w:abstractNum w:abstractNumId="12">
    <w:nsid w:val="F0D2C1E7"/>
    <w:multiLevelType w:val="singleLevel"/>
    <w:tmpl w:val="F0D2C1E7"/>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3">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4">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5">
    <w:nsid w:val="0B2A96EB"/>
    <w:multiLevelType w:val="singleLevel"/>
    <w:tmpl w:val="0B2A96EB"/>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6">
    <w:nsid w:val="10461738"/>
    <w:multiLevelType w:val="singleLevel"/>
    <w:tmpl w:val="10461738"/>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7">
    <w:nsid w:val="1EF0B275"/>
    <w:multiLevelType w:val="singleLevel"/>
    <w:tmpl w:val="1EF0B275"/>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8">
    <w:nsid w:val="1F5B34D5"/>
    <w:multiLevelType w:val="singleLevel"/>
    <w:tmpl w:val="1F5B34D5"/>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19">
    <w:nsid w:val="2DB70F92"/>
    <w:multiLevelType w:val="singleLevel"/>
    <w:tmpl w:val="2DB70F92"/>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20">
    <w:nsid w:val="4114BA6E"/>
    <w:multiLevelType w:val="singleLevel"/>
    <w:tmpl w:val="4114BA6E"/>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21">
    <w:nsid w:val="70665D4F"/>
    <w:multiLevelType w:val="singleLevel"/>
    <w:tmpl w:val="70665D4F"/>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abstractNum w:abstractNumId="22">
    <w:nsid w:val="76872C4C"/>
    <w:multiLevelType w:val="singleLevel"/>
    <w:tmpl w:val="76872C4C"/>
    <w:lvl w:ilvl="0" w:tentative="0">
      <w:start w:val="1"/>
      <w:numFmt w:val="decimal"/>
      <w:lvlText w:val="%1."/>
      <w:lvlJc w:val="left"/>
      <w:pPr>
        <w:ind w:left="425" w:hanging="425"/>
      </w:pPr>
      <w:rPr>
        <w:rFonts w:hint="default"/>
      </w:rPr>
    </w:lvl>
  </w:abstractNum>
  <w:abstractNum w:abstractNumId="23">
    <w:nsid w:val="7A5E84BC"/>
    <w:multiLevelType w:val="singleLevel"/>
    <w:tmpl w:val="7A5E84BC"/>
    <w:lvl w:ilvl="0" w:tentative="0">
      <w:start w:val="1"/>
      <w:numFmt w:val="decimalEnclosedCircleChinese"/>
      <w:suff w:val="nothing"/>
      <w:lvlText w:val="%1　"/>
      <w:lvlJc w:val="left"/>
      <w:pPr>
        <w:ind w:left="0" w:firstLine="400"/>
      </w:pPr>
      <w:rPr>
        <w:rFonts w:hint="eastAsia" w:ascii="宋体" w:hAnsi="宋体" w:eastAsia="宋体" w:cs="宋体"/>
        <w:sz w:val="22"/>
        <w:szCs w:val="22"/>
      </w:rPr>
    </w:lvl>
  </w:abstractNum>
  <w:num w:numId="1">
    <w:abstractNumId w:val="14"/>
  </w:num>
  <w:num w:numId="2">
    <w:abstractNumId w:val="13"/>
  </w:num>
  <w:num w:numId="3">
    <w:abstractNumId w:val="19"/>
  </w:num>
  <w:num w:numId="4">
    <w:abstractNumId w:val="5"/>
  </w:num>
  <w:num w:numId="5">
    <w:abstractNumId w:val="8"/>
  </w:num>
  <w:num w:numId="6">
    <w:abstractNumId w:val="3"/>
  </w:num>
  <w:num w:numId="7">
    <w:abstractNumId w:val="15"/>
  </w:num>
  <w:num w:numId="8">
    <w:abstractNumId w:val="6"/>
  </w:num>
  <w:num w:numId="9">
    <w:abstractNumId w:val="16"/>
  </w:num>
  <w:num w:numId="10">
    <w:abstractNumId w:val="18"/>
  </w:num>
  <w:num w:numId="11">
    <w:abstractNumId w:val="20"/>
  </w:num>
  <w:num w:numId="12">
    <w:abstractNumId w:val="17"/>
  </w:num>
  <w:num w:numId="13">
    <w:abstractNumId w:val="7"/>
  </w:num>
  <w:num w:numId="14">
    <w:abstractNumId w:val="21"/>
  </w:num>
  <w:num w:numId="15">
    <w:abstractNumId w:val="12"/>
  </w:num>
  <w:num w:numId="16">
    <w:abstractNumId w:val="0"/>
  </w:num>
  <w:num w:numId="17">
    <w:abstractNumId w:val="11"/>
  </w:num>
  <w:num w:numId="18">
    <w:abstractNumId w:val="1"/>
  </w:num>
  <w:num w:numId="19">
    <w:abstractNumId w:val="4"/>
  </w:num>
  <w:num w:numId="20">
    <w:abstractNumId w:val="2"/>
  </w:num>
  <w:num w:numId="21">
    <w:abstractNumId w:val="10"/>
  </w:num>
  <w:num w:numId="22">
    <w:abstractNumId w:val="9"/>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6CE5CA7"/>
    <w:rsid w:val="087B39E8"/>
    <w:rsid w:val="0E1F17A0"/>
    <w:rsid w:val="106A58B6"/>
    <w:rsid w:val="14D775B4"/>
    <w:rsid w:val="194C18CF"/>
    <w:rsid w:val="1ADC6D40"/>
    <w:rsid w:val="1DD25D93"/>
    <w:rsid w:val="1DFD3421"/>
    <w:rsid w:val="217C6B87"/>
    <w:rsid w:val="218439FB"/>
    <w:rsid w:val="231A61AF"/>
    <w:rsid w:val="2CBC5291"/>
    <w:rsid w:val="36783969"/>
    <w:rsid w:val="38316CA8"/>
    <w:rsid w:val="3A6366DE"/>
    <w:rsid w:val="3D4A346B"/>
    <w:rsid w:val="414C7ECC"/>
    <w:rsid w:val="41860B91"/>
    <w:rsid w:val="42C64707"/>
    <w:rsid w:val="42C91868"/>
    <w:rsid w:val="44444E8A"/>
    <w:rsid w:val="46D80F8D"/>
    <w:rsid w:val="493F0316"/>
    <w:rsid w:val="4A673806"/>
    <w:rsid w:val="4BB65BAB"/>
    <w:rsid w:val="4D7A37A4"/>
    <w:rsid w:val="55AE4FFD"/>
    <w:rsid w:val="58196B96"/>
    <w:rsid w:val="5C6E4D42"/>
    <w:rsid w:val="5F7A4DB3"/>
    <w:rsid w:val="611E2EDC"/>
    <w:rsid w:val="61D45648"/>
    <w:rsid w:val="688A5DA7"/>
    <w:rsid w:val="6B571220"/>
    <w:rsid w:val="6DBC462A"/>
    <w:rsid w:val="6DD662A4"/>
    <w:rsid w:val="6F4E6291"/>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autoSpaceDE w:val="0"/>
      <w:autoSpaceDN w:val="0"/>
      <w:adjustRightInd w:val="0"/>
      <w:ind w:firstLine="420"/>
      <w:jc w:val="left"/>
    </w:pPr>
    <w:rPr>
      <w:kern w:val="0"/>
      <w:sz w:val="24"/>
    </w:rPr>
  </w:style>
  <w:style w:type="paragraph" w:styleId="12">
    <w:name w:val="annotation text"/>
    <w:basedOn w:val="1"/>
    <w:qFormat/>
    <w:uiPriority w:val="0"/>
    <w:pPr>
      <w:jc w:val="left"/>
    </w:pPr>
  </w:style>
  <w:style w:type="paragraph" w:styleId="13">
    <w:name w:val="Body Text"/>
    <w:basedOn w:val="1"/>
    <w:next w:val="1"/>
    <w:qFormat/>
    <w:uiPriority w:val="0"/>
    <w:pPr>
      <w:spacing w:after="120"/>
    </w:pPr>
  </w:style>
  <w:style w:type="paragraph" w:styleId="14">
    <w:name w:val="Body Text Indent"/>
    <w:basedOn w:val="1"/>
    <w:qFormat/>
    <w:uiPriority w:val="99"/>
    <w:pPr>
      <w:spacing w:line="540" w:lineRule="exact"/>
      <w:ind w:firstLine="480" w:firstLineChars="200"/>
    </w:pPr>
    <w:rPr>
      <w:sz w:val="24"/>
    </w:rPr>
  </w:style>
  <w:style w:type="paragraph" w:styleId="15">
    <w:name w:val="toc 3"/>
    <w:basedOn w:val="1"/>
    <w:next w:val="1"/>
    <w:qFormat/>
    <w:uiPriority w:val="0"/>
    <w:pPr>
      <w:ind w:left="840" w:leftChars="400"/>
    </w:p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Body Text First Indent 2"/>
    <w:basedOn w:val="14"/>
    <w:qFormat/>
    <w:uiPriority w:val="0"/>
    <w:pPr>
      <w:spacing w:after="120" w:afterLines="0" w:line="240" w:lineRule="auto"/>
      <w:ind w:left="420" w:leftChars="200" w:firstLine="42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5">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6">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7">
    <w:name w:val="font21"/>
    <w:basedOn w:val="23"/>
    <w:qFormat/>
    <w:uiPriority w:val="0"/>
    <w:rPr>
      <w:rFonts w:hint="default" w:ascii="Calibri" w:hAnsi="Calibri" w:cs="Calibri"/>
      <w:color w:val="000000"/>
      <w:sz w:val="21"/>
      <w:szCs w:val="21"/>
      <w:u w:val="none"/>
    </w:rPr>
  </w:style>
  <w:style w:type="character" w:customStyle="1" w:styleId="28">
    <w:name w:val="font11"/>
    <w:basedOn w:val="23"/>
    <w:qFormat/>
    <w:uiPriority w:val="0"/>
    <w:rPr>
      <w:rFonts w:hint="eastAsia" w:ascii="宋体" w:hAnsi="宋体" w:eastAsia="宋体" w:cs="宋体"/>
      <w:color w:val="000000"/>
      <w:sz w:val="21"/>
      <w:szCs w:val="21"/>
      <w:u w:val="none"/>
    </w:rPr>
  </w:style>
  <w:style w:type="character" w:customStyle="1" w:styleId="29">
    <w:name w:val="font5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8858</Words>
  <Characters>9170</Characters>
  <Lines>0</Lines>
  <Paragraphs>0</Paragraphs>
  <TotalTime>18</TotalTime>
  <ScaleCrop>false</ScaleCrop>
  <LinksUpToDate>false</LinksUpToDate>
  <CharactersWithSpaces>9238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2025-08-11T02:52:18Z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71D7128F6D7E41F18CDC577820465074</vt:lpwstr>
  </property>
  <property fmtid="{D5CDD505-2E9C-101B-9397-08002B2CF9AE}" pid="4" name="KSOTemplateDocerSaveRecord">
    <vt:lpwstr>eyJoZGlkIjoiZjFmZWIzNDg2MmIzZjExOTIzMmViNTBmYTMwYTk0ZWYiLCJ1c2VySWQiOiI5NDA2OTQ0MjkifQ==</vt:lpwstr>
  </property>
</Properties>
</file>