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ascii="仿宋_GB2312" w:hAnsi="仿宋_GB2312" w:eastAsia="仿宋_GB2312" w:cs="仿宋_GB2312"/>
          <w:sz w:val="32"/>
          <w:szCs w:val="32"/>
        </w:rPr>
        <w:t>附件2:</w:t>
      </w:r>
    </w:p>
    <w:p>
      <w:pPr>
        <w:pStyle w:val="2"/>
        <w:numPr>
          <w:ilvl w:val="0"/>
          <w:numId w:val="0"/>
        </w:numPr>
        <w:spacing w:before="312"/>
        <w:jc w:val="center"/>
        <w:rPr>
          <w:rFonts w:hint="eastAsia"/>
          <w:sz w:val="32"/>
          <w:szCs w:val="32"/>
        </w:rPr>
      </w:pPr>
      <w:r>
        <w:rPr>
          <w:rFonts w:hint="eastAsia"/>
          <w:sz w:val="32"/>
          <w:szCs w:val="32"/>
        </w:rPr>
        <w:t>北京市垂杨柳医院老年健康数据采集小程序项目比选方案</w:t>
      </w:r>
    </w:p>
    <w:p>
      <w:pPr>
        <w:pStyle w:val="2"/>
        <w:spacing w:before="312"/>
        <w:rPr>
          <w:rFonts w:hint="eastAsia"/>
        </w:rPr>
      </w:pPr>
      <w:r>
        <w:rPr>
          <w:rFonts w:hint="eastAsia"/>
        </w:rPr>
        <w:t>项目概述</w:t>
      </w:r>
    </w:p>
    <w:p>
      <w:pPr>
        <w:ind w:firstLine="420" w:firstLineChars="200"/>
        <w:rPr>
          <w:shd w:val="clear" w:color="auto" w:fill="FFFFFF"/>
        </w:rPr>
      </w:pPr>
      <w:r>
        <w:rPr>
          <w:rFonts w:hint="eastAsia"/>
          <w:shd w:val="clear" w:color="auto" w:fill="FFFFFF"/>
        </w:rPr>
        <w:t>老年健康数据采集小程序项目是基于微信小程序，建设医患之间用药信息采集系统，实现数据的采集、整理功能。</w:t>
      </w:r>
    </w:p>
    <w:p>
      <w:pPr>
        <w:pStyle w:val="2"/>
        <w:spacing w:before="312"/>
        <w:rPr>
          <w:rFonts w:hint="eastAsia"/>
        </w:rPr>
      </w:pPr>
      <w:r>
        <w:rPr>
          <w:rFonts w:hint="eastAsia"/>
        </w:rPr>
        <w:t>项目内容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r>
              <w:rPr>
                <w:rFonts w:hint="eastAsia"/>
              </w:rPr>
              <w:t>序号</w:t>
            </w:r>
          </w:p>
        </w:tc>
        <w:tc>
          <w:tcPr>
            <w:tcW w:w="2524" w:type="dxa"/>
            <w:vAlign w:val="center"/>
          </w:tcPr>
          <w:p>
            <w:pPr>
              <w:jc w:val="center"/>
            </w:pPr>
            <w:r>
              <w:rPr>
                <w:rFonts w:hint="eastAsia"/>
              </w:rPr>
              <w:t>名称</w:t>
            </w:r>
          </w:p>
        </w:tc>
        <w:tc>
          <w:tcPr>
            <w:tcW w:w="1173" w:type="dxa"/>
            <w:vAlign w:val="center"/>
          </w:tcPr>
          <w:p>
            <w:pPr>
              <w:jc w:val="center"/>
            </w:pPr>
            <w:r>
              <w:rPr>
                <w:rFonts w:hint="eastAsia"/>
              </w:rPr>
              <w:t>数量</w:t>
            </w:r>
          </w:p>
        </w:tc>
        <w:tc>
          <w:tcPr>
            <w:tcW w:w="4225" w:type="dxa"/>
            <w:vAlign w:val="center"/>
          </w:tcPr>
          <w:p>
            <w:r>
              <w:rPr>
                <w:rFonts w:hint="eastAsia"/>
              </w:rPr>
              <w:t>交货期/建设期/维保期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jc w:val="center"/>
            </w:pPr>
          </w:p>
        </w:tc>
        <w:tc>
          <w:tcPr>
            <w:tcW w:w="2524" w:type="dxa"/>
            <w:vAlign w:val="center"/>
          </w:tcPr>
          <w:p>
            <w:pPr>
              <w:jc w:val="center"/>
            </w:pPr>
            <w:r>
              <w:rPr>
                <w:rFonts w:hint="eastAsia"/>
              </w:rPr>
              <w:t>老年健康数据采集小程序项目</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225" w:type="dxa"/>
            <w:vAlign w:val="center"/>
          </w:tcPr>
          <w:p>
            <w:pPr>
              <w:jc w:val="left"/>
            </w:pPr>
            <w:r>
              <w:rPr>
                <w:rFonts w:hint="eastAsia"/>
              </w:rPr>
              <w:t>合同签定后</w:t>
            </w:r>
            <w:r>
              <w:t>3</w:t>
            </w:r>
            <w:r>
              <w:rPr>
                <w:rFonts w:hint="eastAsia"/>
              </w:rPr>
              <w:t>个月内/免费1年维保期</w:t>
            </w:r>
          </w:p>
        </w:tc>
      </w:tr>
    </w:tbl>
    <w:p>
      <w:pPr>
        <w:pStyle w:val="2"/>
        <w:spacing w:before="312"/>
        <w:rPr>
          <w:rFonts w:hint="eastAsia"/>
        </w:rPr>
      </w:pPr>
      <w:r>
        <w:rPr>
          <w:rFonts w:hint="eastAsia"/>
        </w:rPr>
        <w:t>技术要求</w:t>
      </w:r>
    </w:p>
    <w:p/>
    <w:tbl>
      <w:tblPr>
        <w:tblStyle w:val="17"/>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126"/>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13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应用</w:t>
            </w: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模块</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13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患者端</w:t>
            </w: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微信一键登录，手机号+验证码登录，更换手机号，扫码绑定医生，更新患者个人信息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消息管理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查看续药通知，查看问卷通知，查看上传体检报告通知，提交问卷推送消息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服药后不适症状管理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提交服药后不适症状反馈，查看历史症状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用药管理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添加用药，拍照上传续药，一键续药，查看用药记录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问卷管理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提交问卷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体检报告管理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上传体检报告，查看体检报告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医疗服务</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我要看医生，AI医生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医疗服务</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挂号预约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健康指导</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发送健康指导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113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医生端</w:t>
            </w: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微信一键登录，手机号+验证码登录，更换手机号，更新医生个人信息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11</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消息管理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发送续药提醒，发送上传体检报告提醒，发送填写问卷提醒，查看问卷提交消息，查看健康指导消息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患者管理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查看患者列表，查看患者详情，终止患者服务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13</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数据统计</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统计患者总数，统计失访患者数，统计断续患者数，统计未上传体检报告患者数，统计有有效数据的患者数，统计患者年龄区间分布，统计患者性别分布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14</w:t>
            </w:r>
          </w:p>
        </w:tc>
        <w:tc>
          <w:tcPr>
            <w:tcW w:w="113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管理后台</w:t>
            </w: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账号密码登录，手机号+验证码登录，修改密码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服药后不适症状管理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查看服药后不适症状反馈，批量导出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16</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用药管理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查看用药记录，批量导出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17</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问卷管理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查看问卷列表，新建问卷，复制问卷，推送问卷，删除问卷，编辑问卷，修改问卷截止日期，查看问卷提交记录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18</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体检报告管理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查看体检报告列表，批量导出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系统管理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用户管理，角色管理，部门管理，菜单管理，日志管理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患者管理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查看患者列表，上传体检报告，终止患者服务，批量导出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数据统计</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续药监测量，断药监测量，医生病症分布，患者病症分布，患者留存趋势，患者问卷收到统计趋势，患者不适症状反馈趋势，患者体检报告上传趋势，患者用药品种分布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医生管理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查看医生列表，批量导出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23</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病症管理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查看病症列表，添加病症，更新病症信息，批量导入病症，批量导出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24</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有效数据管理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查看有效数据列表，查看有效数据详情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药品管理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查看药品数据，批量导入药品，添加药品，更新药品，批量导出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26</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健康指导模板</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管理健康指导模板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4"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27</w:t>
            </w:r>
          </w:p>
        </w:tc>
        <w:tc>
          <w:tcPr>
            <w:tcW w:w="1134" w:type="dxa"/>
            <w:noWrap/>
          </w:tcPr>
          <w:p>
            <w:pPr>
              <w:widowControl/>
              <w:rPr>
                <w:rFonts w:hint="eastAsia" w:cs="宋体" w:asciiTheme="minorEastAsia" w:hAnsiTheme="minorEastAsia" w:eastAsiaTheme="minorEastAsia"/>
                <w:kern w:val="0"/>
                <w:sz w:val="24"/>
                <w:szCs w:val="24"/>
              </w:rPr>
            </w:pPr>
          </w:p>
        </w:tc>
        <w:tc>
          <w:tcPr>
            <w:tcW w:w="2126"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字典管理</w:t>
            </w:r>
          </w:p>
        </w:tc>
        <w:tc>
          <w:tcPr>
            <w:tcW w:w="4535" w:type="dxa"/>
            <w:noWrap/>
          </w:tcPr>
          <w:p>
            <w:pPr>
              <w:widowControl/>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管理科室字典</w:t>
            </w:r>
          </w:p>
        </w:tc>
      </w:tr>
    </w:tbl>
    <w:p/>
    <w:p>
      <w:pPr>
        <w:pStyle w:val="2"/>
        <w:spacing w:before="312"/>
        <w:rPr>
          <w:rFonts w:hint="eastAsia"/>
        </w:rPr>
      </w:pPr>
      <w:r>
        <w:rPr>
          <w:rFonts w:hint="eastAsia"/>
        </w:rPr>
        <w:t>商务条款</w:t>
      </w:r>
    </w:p>
    <w:p>
      <w:pPr>
        <w:numPr>
          <w:ilvl w:val="0"/>
          <w:numId w:val="3"/>
        </w:numPr>
      </w:pPr>
      <w:r>
        <w:rPr>
          <w:rFonts w:hint="eastAsia"/>
        </w:rPr>
        <w:t>本次项目中涉及的系统软件须至少提供原厂1年质保服务</w:t>
      </w:r>
      <w:r>
        <w:rPr>
          <w:rFonts w:hint="eastAsia" w:ascii="宋体" w:hAnsi="宋体" w:cs="宋体"/>
        </w:rPr>
        <w:t>（自项目验收之日起）</w:t>
      </w:r>
      <w:r>
        <w:rPr>
          <w:rFonts w:hint="eastAsia"/>
        </w:rPr>
        <w:t>。</w:t>
      </w:r>
    </w:p>
    <w:p>
      <w:pPr>
        <w:numPr>
          <w:ilvl w:val="0"/>
          <w:numId w:val="3"/>
        </w:numPr>
      </w:pPr>
      <w:r>
        <w:rPr>
          <w:rFonts w:hint="eastAsia"/>
        </w:rPr>
        <w:t>报价人负责项目相关设备软件的安装、调试及上线，招标单位予以配合。</w:t>
      </w:r>
    </w:p>
    <w:p>
      <w:pPr>
        <w:numPr>
          <w:ilvl w:val="0"/>
          <w:numId w:val="3"/>
        </w:numPr>
      </w:pPr>
      <w:r>
        <w:rPr>
          <w:rFonts w:hint="eastAsia"/>
        </w:rPr>
        <w:t>报价人有良好的售后服务能力，需提供全年7天24小时服务（电话、远程或现场），并在接到招标人通知后24小时内到达现场。项目验收合格后，每年不低于2次的例行维护及巡检。</w:t>
      </w:r>
    </w:p>
    <w:p>
      <w:pPr>
        <w:numPr>
          <w:ilvl w:val="0"/>
          <w:numId w:val="3"/>
        </w:numPr>
      </w:pPr>
      <w:r>
        <w:rPr>
          <w:rFonts w:hint="eastAsia"/>
        </w:rPr>
        <w:t>培训：根据医院的情况制定相关培训方案，课程设置等。所有的培训费用必须计入报价总价。</w:t>
      </w:r>
    </w:p>
    <w:p>
      <w:pPr>
        <w:pStyle w:val="2"/>
        <w:spacing w:before="312"/>
        <w:rPr>
          <w:rFonts w:hint="eastAsia"/>
        </w:rPr>
      </w:pPr>
      <w:r>
        <w:rPr>
          <w:rFonts w:hint="eastAsia"/>
        </w:rPr>
        <w:t>评分标准</w:t>
      </w:r>
    </w:p>
    <w:p>
      <w:pPr>
        <w:pStyle w:val="3"/>
      </w:pPr>
      <w:r>
        <w:rPr>
          <w:rFonts w:hint="eastAsia"/>
        </w:rPr>
        <w:t>评标方法</w:t>
      </w:r>
    </w:p>
    <w:p>
      <w:pPr>
        <w:ind w:firstLine="480"/>
      </w:pPr>
      <w:r>
        <w:rPr>
          <w:rFonts w:hint="eastAsia"/>
        </w:rPr>
        <w:t>本次评标采用综合评分法，报价文件满足招标文件全部实质性要求且按照评审因素的量化指标评审得分最高的报价人为中标候选人。</w:t>
      </w:r>
    </w:p>
    <w:p>
      <w:pPr>
        <w:pStyle w:val="3"/>
      </w:pPr>
      <w:r>
        <w:rPr>
          <w:rFonts w:hint="eastAsia"/>
        </w:rPr>
        <w:t>评分标准</w:t>
      </w:r>
    </w:p>
    <w:p>
      <w:pPr>
        <w:ind w:firstLine="480"/>
      </w:pPr>
      <w:r>
        <w:rPr>
          <w:rFonts w:hint="eastAsia"/>
        </w:rPr>
        <w:t>共100分，其中商务技术分90分，价格分10分。评分依下述所列为评标打分依据。</w:t>
      </w:r>
    </w:p>
    <w:p>
      <w:pPr>
        <w:pStyle w:val="4"/>
      </w:pPr>
      <w:r>
        <w:rPr>
          <w:rFonts w:hint="eastAsia"/>
        </w:rPr>
        <w:t>价格分10分</w:t>
      </w:r>
    </w:p>
    <w:p>
      <w:pPr>
        <w:ind w:firstLine="480"/>
      </w:pPr>
      <w:r>
        <w:rPr>
          <w:rFonts w:hint="eastAsia"/>
        </w:rPr>
        <w:t>不超过采购预算，满足比选文件要求且有效最终评审价格最低的为基准价。</w:t>
      </w:r>
    </w:p>
    <w:p>
      <w:pPr>
        <w:ind w:firstLine="480"/>
      </w:pPr>
      <w:r>
        <w:rPr>
          <w:rFonts w:hint="eastAsia"/>
        </w:rPr>
        <w:t>各报价人的价格分统一按照下列公式计算：</w:t>
      </w:r>
    </w:p>
    <w:p>
      <w:pPr>
        <w:ind w:firstLine="482"/>
        <w:rPr>
          <w:b/>
        </w:rPr>
      </w:pPr>
      <w:r>
        <w:rPr>
          <w:rFonts w:hint="eastAsia"/>
        </w:rPr>
        <w:t>价格部分得分=基准价/各报价人最终评审价格×10。</w:t>
      </w:r>
    </w:p>
    <w:p>
      <w:pPr>
        <w:pStyle w:val="4"/>
      </w:pPr>
      <w:r>
        <w:rPr>
          <w:rFonts w:hint="eastAsia"/>
        </w:rPr>
        <w:t>商务技术分9</w:t>
      </w:r>
      <w:r>
        <w:t>0</w:t>
      </w:r>
      <w:r>
        <w:rPr>
          <w:rFonts w:hint="eastAsia"/>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618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3"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评分项目</w:t>
            </w:r>
          </w:p>
        </w:tc>
        <w:tc>
          <w:tcPr>
            <w:tcW w:w="3629"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评标要点及说明</w:t>
            </w:r>
          </w:p>
        </w:tc>
        <w:tc>
          <w:tcPr>
            <w:tcW w:w="678"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3"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企业及项目团队</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rPr>
              <w:t>1、报价人具有软件企业认证证书的得1分，没有不得分，最高得1分；</w:t>
            </w:r>
          </w:p>
          <w:p>
            <w:pPr>
              <w:pStyle w:val="26"/>
              <w:widowControl/>
              <w:numPr>
                <w:ilvl w:val="0"/>
                <w:numId w:val="4"/>
              </w:numPr>
              <w:ind w:firstLineChars="0"/>
              <w:textAlignment w:val="center"/>
              <w:rPr>
                <w:rFonts w:hint="eastAsia" w:ascii="宋体" w:hAnsi="宋体" w:cs="宋体"/>
                <w:color w:val="000000"/>
              </w:rPr>
            </w:pPr>
            <w:r>
              <w:rPr>
                <w:rFonts w:hint="eastAsia" w:ascii="宋体" w:hAnsi="宋体" w:cs="宋体"/>
                <w:color w:val="000000"/>
              </w:rPr>
              <w:t>报价人具有同类型软件著作权的，每提供1个得1分，最多得3分；</w:t>
            </w:r>
          </w:p>
          <w:p>
            <w:pPr>
              <w:pStyle w:val="26"/>
              <w:widowControl/>
              <w:numPr>
                <w:ilvl w:val="0"/>
                <w:numId w:val="4"/>
              </w:numPr>
              <w:ind w:firstLineChars="0"/>
              <w:textAlignment w:val="center"/>
              <w:rPr>
                <w:rFonts w:hint="eastAsia" w:ascii="宋体" w:hAnsi="宋体" w:cs="宋体"/>
                <w:color w:val="000000"/>
              </w:rPr>
            </w:pPr>
            <w:r>
              <w:rPr>
                <w:rFonts w:hint="eastAsia" w:ascii="宋体" w:hAnsi="宋体" w:cs="宋体"/>
                <w:color w:val="000000"/>
              </w:rPr>
              <w:t>报价人拟派的现场项目经理具有信息系统项目管理师证书或PMP证书的得1分，没有不得分，最高得1分；</w:t>
            </w:r>
          </w:p>
        </w:tc>
        <w:tc>
          <w:tcPr>
            <w:tcW w:w="678" w:type="pct"/>
            <w:vAlign w:val="center"/>
          </w:tcPr>
          <w:p>
            <w:pPr>
              <w:widowControl/>
              <w:jc w:val="center"/>
              <w:textAlignment w:val="center"/>
              <w:rPr>
                <w:rFonts w:ascii="Calibri" w:hAnsi="Calibri" w:cs="Calibri"/>
                <w:color w:val="000000"/>
              </w:rPr>
            </w:pPr>
            <w:r>
              <w:rPr>
                <w:rFonts w:hint="eastAsia" w:ascii="Calibri" w:hAnsi="Calibri" w:cs="Calibri"/>
                <w:color w:val="000000"/>
                <w:kern w:val="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93"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业绩</w:t>
            </w:r>
            <w:r>
              <w:rPr>
                <w:rStyle w:val="23"/>
                <w:rFonts w:hint="default"/>
                <w:lang w:bidi="ar"/>
              </w:rPr>
              <w:t>证明</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kern w:val="0"/>
                <w:lang w:bidi="ar"/>
              </w:rPr>
              <w:t>报价人须提供近三年（开标之日往前追溯三年，以签订合同之日或中标通知书发出之日为准）的同类型（科研类/医疗类数据库）建设项目应用案例，每提供一个有效业绩得</w:t>
            </w:r>
            <w:r>
              <w:rPr>
                <w:rStyle w:val="22"/>
              </w:rPr>
              <w:t>2</w:t>
            </w:r>
            <w:r>
              <w:rPr>
                <w:rStyle w:val="23"/>
                <w:rFonts w:hint="default"/>
                <w:lang w:bidi="ar"/>
              </w:rPr>
              <w:t>分，最高得</w:t>
            </w:r>
            <w:r>
              <w:rPr>
                <w:rStyle w:val="22"/>
              </w:rPr>
              <w:t>10</w:t>
            </w:r>
            <w:r>
              <w:rPr>
                <w:rStyle w:val="23"/>
                <w:rFonts w:hint="default"/>
                <w:lang w:bidi="ar"/>
              </w:rPr>
              <w:t>分。（提供中标通知书或合同复印件）。</w:t>
            </w:r>
          </w:p>
        </w:tc>
        <w:tc>
          <w:tcPr>
            <w:tcW w:w="678" w:type="pct"/>
            <w:vAlign w:val="center"/>
          </w:tcPr>
          <w:p>
            <w:pPr>
              <w:widowControl/>
              <w:jc w:val="center"/>
              <w:textAlignment w:val="center"/>
              <w:rPr>
                <w:rFonts w:ascii="Calibri" w:hAnsi="Calibri" w:cs="Calibri"/>
                <w:color w:val="000000"/>
              </w:rPr>
            </w:pPr>
            <w:bookmarkStart w:id="0" w:name="_GoBack"/>
            <w:r>
              <w:rPr>
                <w:rFonts w:ascii="Calibri" w:hAnsi="Calibri" w:cs="Calibri"/>
                <w:color w:val="000000"/>
                <w:kern w:val="0"/>
                <w:lang w:bidi="ar"/>
              </w:rPr>
              <w:t>10</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93"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技术响应部分</w:t>
            </w:r>
          </w:p>
        </w:tc>
        <w:tc>
          <w:tcPr>
            <w:tcW w:w="3629" w:type="pct"/>
            <w:vAlign w:val="center"/>
          </w:tcPr>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根据报价人对项目技术要求、功能要求的具体响应情况。</w:t>
            </w:r>
          </w:p>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 xml:space="preserve">(1) 项目完全符合技术要求、满足功能需要，得 </w:t>
            </w:r>
            <w:r>
              <w:rPr>
                <w:rFonts w:hint="eastAsia" w:ascii="宋体" w:hAnsi="宋体" w:cs="宋体"/>
                <w:color w:val="000000"/>
                <w:kern w:val="0"/>
                <w:lang w:val="en-US" w:eastAsia="zh-CN" w:bidi="ar"/>
              </w:rPr>
              <w:t>25</w:t>
            </w:r>
            <w:r>
              <w:rPr>
                <w:rFonts w:hint="eastAsia" w:ascii="宋体" w:hAnsi="宋体" w:cs="宋体"/>
                <w:color w:val="000000"/>
                <w:kern w:val="0"/>
                <w:lang w:bidi="ar"/>
              </w:rPr>
              <w:t xml:space="preserve"> 分；</w:t>
            </w:r>
          </w:p>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 xml:space="preserve">(2) 项目部分符合技术要求、满足功能需要，得 </w:t>
            </w:r>
            <w:r>
              <w:rPr>
                <w:rFonts w:hint="eastAsia" w:ascii="宋体" w:hAnsi="宋体" w:cs="宋体"/>
                <w:color w:val="000000"/>
                <w:kern w:val="0"/>
                <w:lang w:val="en-US" w:eastAsia="zh-CN" w:bidi="ar"/>
              </w:rPr>
              <w:t>17</w:t>
            </w:r>
            <w:r>
              <w:rPr>
                <w:rFonts w:hint="eastAsia" w:ascii="宋体" w:hAnsi="宋体" w:cs="宋体"/>
                <w:color w:val="000000"/>
                <w:kern w:val="0"/>
                <w:lang w:bidi="ar"/>
              </w:rPr>
              <w:t>分；</w:t>
            </w:r>
          </w:p>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 xml:space="preserve">(3) 项目基本符合技术要求、符合部分功能需要，得 </w:t>
            </w:r>
            <w:r>
              <w:rPr>
                <w:rFonts w:hint="eastAsia" w:ascii="宋体" w:hAnsi="宋体" w:cs="宋体"/>
                <w:color w:val="000000"/>
                <w:kern w:val="0"/>
                <w:lang w:val="en-US" w:eastAsia="zh-CN" w:bidi="ar"/>
              </w:rPr>
              <w:t>10</w:t>
            </w:r>
            <w:r>
              <w:rPr>
                <w:rFonts w:hint="eastAsia" w:ascii="宋体" w:hAnsi="宋体" w:cs="宋体"/>
                <w:color w:val="000000"/>
                <w:kern w:val="0"/>
                <w:lang w:bidi="ar"/>
              </w:rPr>
              <w:t>分。</w:t>
            </w:r>
          </w:p>
          <w:p>
            <w:pPr>
              <w:widowControl/>
              <w:textAlignment w:val="center"/>
              <w:rPr>
                <w:rFonts w:hint="eastAsia" w:ascii="宋体" w:hAnsi="宋体" w:cs="宋体"/>
                <w:color w:val="000000"/>
              </w:rPr>
            </w:pPr>
            <w:r>
              <w:rPr>
                <w:rFonts w:hint="eastAsia" w:ascii="宋体" w:hAnsi="宋体" w:cs="宋体"/>
                <w:color w:val="000000"/>
                <w:kern w:val="0"/>
                <w:lang w:bidi="ar"/>
              </w:rPr>
              <w:t>(4) 完全不符合功能需要，得 0 分。</w:t>
            </w:r>
          </w:p>
        </w:tc>
        <w:tc>
          <w:tcPr>
            <w:tcW w:w="678" w:type="pct"/>
            <w:vAlign w:val="center"/>
          </w:tcPr>
          <w:p>
            <w:pPr>
              <w:widowControl/>
              <w:jc w:val="center"/>
              <w:textAlignment w:val="center"/>
              <w:rPr>
                <w:rFonts w:hint="default" w:ascii="Calibri" w:hAnsi="Calibri" w:eastAsia="宋体" w:cs="Calibri"/>
                <w:color w:val="000000"/>
                <w:lang w:val="en-US" w:eastAsia="zh-CN"/>
              </w:rPr>
            </w:pPr>
            <w:r>
              <w:rPr>
                <w:rFonts w:hint="eastAsia" w:ascii="Calibri" w:hAnsi="Calibri" w:cs="Calibri"/>
                <w:color w:val="000000"/>
                <w:kern w:val="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93" w:type="pct"/>
            <w:vMerge w:val="restar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组织实施方案</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kern w:val="0"/>
                <w:lang w:bidi="ar"/>
              </w:rPr>
              <w:t>根据报价人项目组织实施方案的科学性、合理性、规范性和可操作性，具体如下：</w:t>
            </w:r>
          </w:p>
        </w:tc>
        <w:tc>
          <w:tcPr>
            <w:tcW w:w="678" w:type="pct"/>
            <w:vMerge w:val="restart"/>
            <w:vAlign w:val="center"/>
          </w:tcPr>
          <w:p>
            <w:pPr>
              <w:widowControl/>
              <w:jc w:val="center"/>
              <w:textAlignment w:val="center"/>
              <w:rPr>
                <w:rFonts w:ascii="Times New Roman" w:hAnsi="Times New Roman" w:cs="Times New Roman"/>
                <w:color w:val="000000"/>
              </w:rPr>
            </w:pPr>
            <w:r>
              <w:rPr>
                <w:rFonts w:hint="eastAsia" w:ascii="Times New Roman" w:hAnsi="Times New Roman" w:cs="Times New Roman"/>
                <w:color w:val="000000"/>
                <w:kern w:val="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项目实施标准规范、实际操作性强，得 1</w:t>
            </w:r>
            <w:r>
              <w:rPr>
                <w:rStyle w:val="22"/>
                <w:rFonts w:hint="eastAsia"/>
              </w:rPr>
              <w:t>5</w:t>
            </w:r>
            <w:r>
              <w:rPr>
                <w:rStyle w:val="23"/>
                <w:rFonts w:hint="default"/>
                <w:lang w:bidi="ar"/>
              </w:rPr>
              <w:t>分；</w:t>
            </w:r>
          </w:p>
        </w:tc>
        <w:tc>
          <w:tcPr>
            <w:tcW w:w="678" w:type="pct"/>
            <w:vMerge w:val="continue"/>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 xml:space="preserve">项目实施符合规范、实际操作性一般，得 </w:t>
            </w:r>
            <w:r>
              <w:rPr>
                <w:rStyle w:val="22"/>
                <w:rFonts w:hint="eastAsia"/>
              </w:rPr>
              <w:t>10</w:t>
            </w:r>
            <w:r>
              <w:rPr>
                <w:rStyle w:val="23"/>
                <w:rFonts w:hint="default"/>
                <w:lang w:bidi="ar"/>
              </w:rPr>
              <w:t>分；</w:t>
            </w:r>
          </w:p>
        </w:tc>
        <w:tc>
          <w:tcPr>
            <w:tcW w:w="678" w:type="pct"/>
            <w:vMerge w:val="continue"/>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项目实施基本规范、实际操作性弱，得5分。</w:t>
            </w:r>
          </w:p>
        </w:tc>
        <w:tc>
          <w:tcPr>
            <w:tcW w:w="678" w:type="pct"/>
            <w:vMerge w:val="continue"/>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Fonts w:hint="eastAsia" w:ascii="Calibri" w:hAnsi="Calibri" w:cs="Calibri"/>
                <w:color w:val="000000"/>
                <w:kern w:val="0"/>
                <w:lang w:bidi="ar"/>
              </w:rPr>
              <w:t>完全不符合或</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3" w:type="pct"/>
            <w:vMerge w:val="restar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质量保障措施</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kern w:val="0"/>
                <w:lang w:bidi="ar"/>
              </w:rPr>
              <w:t>根据报价人提供的系统开发的相关质量保障措施进行评分；</w:t>
            </w:r>
          </w:p>
        </w:tc>
        <w:tc>
          <w:tcPr>
            <w:tcW w:w="678" w:type="pct"/>
            <w:vMerge w:val="restar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保障措施计划详尽、合理、完善，得15 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保障措施计划较好、基本满足要求，得 10分；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保障措施计划不完善、不明确，得 5分。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3" w:type="pct"/>
            <w:vMerge w:val="restar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培训计划</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kern w:val="0"/>
                <w:lang w:bidi="ar"/>
              </w:rPr>
              <w:t>根据报价人培训计划的科学性、合理性和可操作性进行评分：</w:t>
            </w:r>
          </w:p>
        </w:tc>
        <w:tc>
          <w:tcPr>
            <w:tcW w:w="678" w:type="pct"/>
            <w:vMerge w:val="restart"/>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1</w:t>
            </w:r>
            <w:r>
              <w:rPr>
                <w:rFonts w:hint="eastAsia" w:ascii="宋体" w:hAnsi="宋体" w:cs="宋体"/>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项目培训计划好、可操作性强，得1</w:t>
            </w:r>
            <w:r>
              <w:rPr>
                <w:rStyle w:val="23"/>
                <w:rFonts w:hint="eastAsia"/>
                <w:lang w:val="en-US" w:eastAsia="zh-CN" w:bidi="ar"/>
              </w:rPr>
              <w:t>0</w:t>
            </w:r>
            <w:r>
              <w:rPr>
                <w:rStyle w:val="23"/>
                <w:rFonts w:hint="default"/>
                <w:lang w:bidi="ar"/>
              </w:rPr>
              <w:t>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项目培训计划较好、实际操作性一般，得</w:t>
            </w:r>
            <w:r>
              <w:rPr>
                <w:rStyle w:val="23"/>
                <w:rFonts w:hint="eastAsia"/>
                <w:lang w:val="en-US" w:eastAsia="zh-CN" w:bidi="ar"/>
              </w:rPr>
              <w:t>7</w:t>
            </w:r>
            <w:r>
              <w:rPr>
                <w:rStyle w:val="23"/>
                <w:rFonts w:hint="default"/>
                <w:lang w:bidi="ar"/>
              </w:rPr>
              <w:t>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项目培训计划不完善、实际操作性弱，得 5分。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3" w:type="pct"/>
            <w:vMerge w:val="continue"/>
            <w:vAlign w:val="center"/>
          </w:tcPr>
          <w:p>
            <w:pPr>
              <w:jc w:val="center"/>
              <w:rPr>
                <w:rFonts w:hint="eastAsia" w:ascii="宋体" w:hAnsi="宋体" w:cs="宋体"/>
                <w:color w:val="000000"/>
              </w:rPr>
            </w:pPr>
          </w:p>
        </w:tc>
        <w:tc>
          <w:tcPr>
            <w:tcW w:w="3629" w:type="pct"/>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693" w:type="pct"/>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售后服务</w:t>
            </w:r>
          </w:p>
        </w:tc>
        <w:tc>
          <w:tcPr>
            <w:tcW w:w="3629" w:type="pct"/>
            <w:vAlign w:val="center"/>
          </w:tcPr>
          <w:p>
            <w:pPr>
              <w:widowControl/>
              <w:textAlignment w:val="center"/>
              <w:rPr>
                <w:rFonts w:hint="eastAsia" w:ascii="宋体" w:hAnsi="宋体" w:cs="宋体"/>
                <w:color w:val="000000"/>
              </w:rPr>
            </w:pPr>
            <w:r>
              <w:rPr>
                <w:rFonts w:hint="eastAsia" w:ascii="宋体" w:hAnsi="宋体" w:cs="宋体"/>
                <w:color w:val="000000"/>
                <w:kern w:val="0"/>
                <w:lang w:bidi="ar"/>
              </w:rPr>
              <w:t>根据报价人售后服务的科学性、合理性、规范性和可操作性进行评分，包括具体的售后服务内容、服务规范、故障响应时间、响应方式等内容。</w:t>
            </w:r>
          </w:p>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售后服务承诺好、服务方式及内容完整，</w:t>
            </w:r>
            <w:r>
              <w:rPr>
                <w:rFonts w:hint="eastAsia" w:ascii="宋体" w:hAnsi="宋体" w:cs="宋体"/>
                <w:color w:val="000000"/>
                <w:kern w:val="0"/>
                <w:lang w:bidi="ar"/>
              </w:rPr>
              <w:t>故障响应及时</w:t>
            </w:r>
            <w:r>
              <w:rPr>
                <w:rStyle w:val="23"/>
                <w:rFonts w:hint="default"/>
                <w:lang w:bidi="ar"/>
              </w:rPr>
              <w:t>，得</w:t>
            </w:r>
            <w:r>
              <w:rPr>
                <w:rStyle w:val="23"/>
                <w:rFonts w:hint="eastAsia"/>
                <w:lang w:val="en-US" w:eastAsia="zh-CN" w:bidi="ar"/>
              </w:rPr>
              <w:t>10</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售后服务承诺较好、服务方式及内容一般，</w:t>
            </w:r>
            <w:r>
              <w:rPr>
                <w:rFonts w:hint="eastAsia" w:ascii="宋体" w:hAnsi="宋体" w:cs="宋体"/>
                <w:color w:val="000000"/>
                <w:kern w:val="0"/>
                <w:lang w:bidi="ar"/>
              </w:rPr>
              <w:t>故障响应一般，</w:t>
            </w:r>
            <w:r>
              <w:rPr>
                <w:rStyle w:val="23"/>
                <w:rFonts w:hint="default"/>
                <w:lang w:bidi="ar"/>
              </w:rPr>
              <w:t xml:space="preserve">得 </w:t>
            </w:r>
            <w:r>
              <w:rPr>
                <w:rStyle w:val="23"/>
                <w:rFonts w:hint="eastAsia"/>
                <w:lang w:val="en-US" w:eastAsia="zh-CN" w:bidi="ar"/>
              </w:rPr>
              <w:t>7</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售后服务承诺不完整、服务方式及内容单一，得 </w:t>
            </w:r>
            <w:r>
              <w:rPr>
                <w:rStyle w:val="23"/>
                <w:rFonts w:hint="eastAsia"/>
                <w:lang w:val="en-US" w:eastAsia="zh-CN" w:bidi="ar"/>
              </w:rPr>
              <w:t>5</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10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abstractNum w:abstractNumId="3">
    <w:nsid w:val="7CF819AE"/>
    <w:multiLevelType w:val="multilevel"/>
    <w:tmpl w:val="7CF819AE"/>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GFjNzExZmZmM2M4YjY0MGM1MjczMWExZGYzNTMifQ=="/>
  </w:docVars>
  <w:rsids>
    <w:rsidRoot w:val="1DD25D93"/>
    <w:rsid w:val="000F203C"/>
    <w:rsid w:val="00111E2D"/>
    <w:rsid w:val="00112E7C"/>
    <w:rsid w:val="001E654E"/>
    <w:rsid w:val="00215DBB"/>
    <w:rsid w:val="00343C1B"/>
    <w:rsid w:val="003476D4"/>
    <w:rsid w:val="00411926"/>
    <w:rsid w:val="00511E8C"/>
    <w:rsid w:val="005656B4"/>
    <w:rsid w:val="00582174"/>
    <w:rsid w:val="005A3321"/>
    <w:rsid w:val="00631E1C"/>
    <w:rsid w:val="006321B5"/>
    <w:rsid w:val="006C7366"/>
    <w:rsid w:val="006E3B0F"/>
    <w:rsid w:val="00727FE1"/>
    <w:rsid w:val="007B1EF9"/>
    <w:rsid w:val="009365B0"/>
    <w:rsid w:val="00975E9C"/>
    <w:rsid w:val="00A05AC7"/>
    <w:rsid w:val="00B114A0"/>
    <w:rsid w:val="00BC071A"/>
    <w:rsid w:val="00C076FB"/>
    <w:rsid w:val="00C32893"/>
    <w:rsid w:val="00D3678C"/>
    <w:rsid w:val="00EE0B4E"/>
    <w:rsid w:val="00F03F51"/>
    <w:rsid w:val="00F23ED4"/>
    <w:rsid w:val="00F57A1A"/>
    <w:rsid w:val="00FF7173"/>
    <w:rsid w:val="06CE5CA7"/>
    <w:rsid w:val="087B39E8"/>
    <w:rsid w:val="0E1F17A0"/>
    <w:rsid w:val="106A58B6"/>
    <w:rsid w:val="194C18CF"/>
    <w:rsid w:val="1DD25D93"/>
    <w:rsid w:val="20F1377F"/>
    <w:rsid w:val="217C6B87"/>
    <w:rsid w:val="218439FB"/>
    <w:rsid w:val="231A61AF"/>
    <w:rsid w:val="2CBC5291"/>
    <w:rsid w:val="35B40469"/>
    <w:rsid w:val="36783969"/>
    <w:rsid w:val="38316CA8"/>
    <w:rsid w:val="3D4A346B"/>
    <w:rsid w:val="42C64707"/>
    <w:rsid w:val="42C91868"/>
    <w:rsid w:val="44444E8A"/>
    <w:rsid w:val="493F0316"/>
    <w:rsid w:val="4A673806"/>
    <w:rsid w:val="4B601BBB"/>
    <w:rsid w:val="4D7A37A4"/>
    <w:rsid w:val="55AE4FFD"/>
    <w:rsid w:val="58196B96"/>
    <w:rsid w:val="5C6E4D42"/>
    <w:rsid w:val="5F7A4DB3"/>
    <w:rsid w:val="611E2EDC"/>
    <w:rsid w:val="61C037DA"/>
    <w:rsid w:val="61D45648"/>
    <w:rsid w:val="6B571220"/>
    <w:rsid w:val="6DBC462A"/>
    <w:rsid w:val="6DD662A4"/>
    <w:rsid w:val="6F4E6291"/>
    <w:rsid w:val="744B6D39"/>
    <w:rsid w:val="753B01E2"/>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cs="宋体"/>
      <w:b/>
      <w:kern w:val="44"/>
      <w:sz w:val="36"/>
      <w:szCs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jc w:val="center"/>
    </w:pPr>
    <w:rPr>
      <w:rFonts w:ascii="Times New Roman" w:hAnsi="Times New Roman"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 w:type="paragraph" w:customStyle="1" w:styleId="25">
    <w:name w:val="Revision"/>
    <w:hidden/>
    <w:unhideWhenUsed/>
    <w:qFormat/>
    <w:uiPriority w:val="99"/>
    <w:rPr>
      <w:rFonts w:eastAsia="宋体" w:asciiTheme="minorHAnsi" w:hAnsiTheme="minorHAnsi" w:cstheme="minorBidi"/>
      <w:kern w:val="2"/>
      <w:sz w:val="21"/>
      <w:szCs w:val="21"/>
      <w:lang w:val="en-US" w:eastAsia="zh-CN" w:bidi="ar-SA"/>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385</Words>
  <Characters>2196</Characters>
  <Lines>18</Lines>
  <Paragraphs>5</Paragraphs>
  <TotalTime>69</TotalTime>
  <ScaleCrop>false</ScaleCrop>
  <LinksUpToDate>false</LinksUpToDate>
  <CharactersWithSpaces>2576</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2025-07-24T02:57:00Z</dcterms:created>
  <dc:creator>痒痒杨</dc:creator>
  <cp:lastModifiedBy>Kelsen</cp:lastModifiedBy>
  <dcterms:modified xsi:type="dcterms:W3CDTF">2025-09-05T01:43:25Z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0AE1940819864E58B5BD8EDE93EF3A12</vt:lpwstr>
  </property>
  <property fmtid="{D5CDD505-2E9C-101B-9397-08002B2CF9AE}" pid="4" name="KSOTemplateDocerSaveRecord">
    <vt:lpwstr>eyJoZGlkIjoiMGJhYzMyMDlhZTg1YWZkY2ZiMTIzMTQ3OGY3NzU0ZmEiLCJ1c2VySWQiOiI2MTA2MDY2MTAifQ==</vt:lpwstr>
  </property>
</Properties>
</file>