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ascii="仿宋_GB2312" w:hAnsi="仿宋_GB2312" w:eastAsia="仿宋_GB2312" w:cs="仿宋_GB2312"/>
          <w:sz w:val="32"/>
          <w:szCs w:val="32"/>
        </w:rPr>
        <w:t>附件2:</w:t>
      </w:r>
    </w:p>
    <w:p>
      <w:pPr>
        <w:pStyle w:val="2"/>
        <w:numPr>
          <w:ilvl w:val="0"/>
          <w:numId w:val="0"/>
        </w:numPr>
        <w:spacing w:before="312"/>
        <w:jc w:val="center"/>
        <w:rPr>
          <w:rFonts w:hint="eastAsia"/>
          <w:sz w:val="32"/>
          <w:szCs w:val="32"/>
        </w:rPr>
      </w:pPr>
      <w:r>
        <w:rPr>
          <w:rFonts w:hint="eastAsia"/>
          <w:sz w:val="32"/>
          <w:szCs w:val="32"/>
        </w:rPr>
        <w:t>北京市垂杨柳医院医保信息系统个性化技术服务比选项目</w:t>
      </w:r>
    </w:p>
    <w:p>
      <w:pPr>
        <w:pStyle w:val="2"/>
        <w:spacing w:before="312"/>
        <w:rPr>
          <w:rFonts w:hint="eastAsia"/>
        </w:rPr>
      </w:pPr>
      <w:r>
        <w:rPr>
          <w:rFonts w:hint="eastAsia"/>
        </w:rPr>
        <w:t>项目概述</w:t>
      </w:r>
    </w:p>
    <w:p>
      <w:pPr>
        <w:ind w:firstLine="480" w:firstLineChars="200"/>
        <w:rPr>
          <w:rFonts w:hint="eastAsia" w:ascii="宋体" w:hAnsi="宋体" w:cs="宋体"/>
          <w:color w:val="000000"/>
          <w:sz w:val="24"/>
          <w:shd w:val="clear" w:color="auto" w:fill="FFFFFF"/>
        </w:rPr>
      </w:pPr>
      <w:r>
        <w:rPr>
          <w:rFonts w:hint="eastAsia" w:ascii="宋体" w:hAnsi="宋体" w:cs="宋体"/>
          <w:color w:val="000000"/>
          <w:sz w:val="24"/>
          <w:szCs w:val="24"/>
          <w:shd w:val="clear" w:color="auto" w:fill="FFFFFF"/>
        </w:rPr>
        <w:t>随着医保门诊/住院实时结算业务的上线、互联互通工作的开展，医保系统处理的数据量将大大增加，对医保业务系统数据处理性能、稳定性、高可用性，以及对医保数据安全性、医保业务的连续性、工作效率方面提出了更高要求，需要享有更加快捷响应的服务来满足医院未来的业务发展。</w:t>
      </w:r>
    </w:p>
    <w:p>
      <w:pPr>
        <w:pStyle w:val="19"/>
        <w:widowControl/>
        <w:adjustRightInd w:val="0"/>
        <w:snapToGrid w:val="0"/>
        <w:spacing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因此我院需要对现有的医保信息系统运维服务进行升级工作，并定制个性化医保信息系统技术服务方案。</w:t>
      </w:r>
    </w:p>
    <w:p>
      <w:pPr>
        <w:pStyle w:val="2"/>
        <w:spacing w:before="312"/>
        <w:rPr>
          <w:rFonts w:hint="eastAsia"/>
        </w:rPr>
      </w:pPr>
      <w:r>
        <w:rPr>
          <w:rFonts w:hint="eastAsia"/>
        </w:rPr>
        <w:t>项目内容</w:t>
      </w:r>
    </w:p>
    <w:tbl>
      <w:tblPr>
        <w:tblStyle w:val="2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r>
              <w:rPr>
                <w:rFonts w:hint="eastAsia"/>
              </w:rPr>
              <w:t>序号</w:t>
            </w:r>
          </w:p>
        </w:tc>
        <w:tc>
          <w:tcPr>
            <w:tcW w:w="2524" w:type="dxa"/>
            <w:vAlign w:val="center"/>
          </w:tcPr>
          <w:p>
            <w:pPr>
              <w:jc w:val="center"/>
            </w:pPr>
            <w:r>
              <w:rPr>
                <w:rFonts w:hint="eastAsia"/>
              </w:rPr>
              <w:t>名称</w:t>
            </w:r>
          </w:p>
        </w:tc>
        <w:tc>
          <w:tcPr>
            <w:tcW w:w="1173" w:type="dxa"/>
            <w:vAlign w:val="center"/>
          </w:tcPr>
          <w:p>
            <w:pPr>
              <w:jc w:val="center"/>
            </w:pPr>
            <w:r>
              <w:rPr>
                <w:rFonts w:hint="eastAsia"/>
              </w:rPr>
              <w:t>数量</w:t>
            </w:r>
          </w:p>
        </w:tc>
        <w:tc>
          <w:tcPr>
            <w:tcW w:w="4225" w:type="dxa"/>
            <w:vAlign w:val="center"/>
          </w:tcPr>
          <w:p>
            <w:pPr>
              <w:jc w:val="center"/>
            </w:pPr>
            <w:r>
              <w:rPr>
                <w:rFonts w:hint="eastAsia"/>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jc w:val="center"/>
            </w:pPr>
          </w:p>
        </w:tc>
        <w:tc>
          <w:tcPr>
            <w:tcW w:w="2524" w:type="dxa"/>
            <w:vAlign w:val="center"/>
          </w:tcPr>
          <w:p>
            <w:pPr>
              <w:jc w:val="center"/>
            </w:pPr>
            <w:r>
              <w:rPr>
                <w:rFonts w:hint="eastAsia"/>
              </w:rPr>
              <w:t>医保信息系统个性化技术服务</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225" w:type="dxa"/>
            <w:vAlign w:val="center"/>
          </w:tcPr>
          <w:p>
            <w:pPr>
              <w:jc w:val="center"/>
            </w:pPr>
            <w:r>
              <w:rPr>
                <w:rFonts w:hint="eastAsia"/>
              </w:rPr>
              <w:t>12个月</w:t>
            </w:r>
          </w:p>
        </w:tc>
      </w:tr>
    </w:tbl>
    <w:p>
      <w:pPr>
        <w:pStyle w:val="2"/>
        <w:spacing w:before="312"/>
        <w:rPr>
          <w:rFonts w:hint="eastAsia"/>
        </w:rPr>
      </w:pPr>
      <w:r>
        <w:rPr>
          <w:rFonts w:hint="eastAsia"/>
        </w:rPr>
        <w:t>技术要求</w:t>
      </w:r>
      <w:bookmarkStart w:id="0" w:name="_GoBack"/>
      <w:bookmarkEnd w:id="0"/>
    </w:p>
    <w:p>
      <w:pPr>
        <w:pStyle w:val="19"/>
        <w:widowControl/>
        <w:numPr>
          <w:ilvl w:val="0"/>
          <w:numId w:val="3"/>
        </w:numPr>
        <w:adjustRightInd w:val="0"/>
        <w:snapToGrid w:val="0"/>
        <w:spacing w:beforeAutospacing="0" w:afterAutospacing="0" w:line="360" w:lineRule="auto"/>
        <w:ind w:left="420" w:firstLine="420"/>
        <w:outlineLvl w:val="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服务内容及要求：</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770"/>
        <w:gridCol w:w="67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1" w:hRule="atLeast"/>
          <w:tblHeader/>
        </w:trPr>
        <w:tc>
          <w:tcPr>
            <w:tcW w:w="1951" w:type="dxa"/>
            <w:shd w:val="clear" w:color="auto" w:fill="D9D9D9"/>
            <w:vAlign w:val="center"/>
          </w:tcPr>
          <w:p>
            <w:pPr>
              <w:adjustRightInd w:val="0"/>
              <w:snapToGrid w:val="0"/>
              <w:jc w:val="center"/>
              <w:rPr>
                <w:rFonts w:hint="eastAsia" w:ascii="宋体" w:hAnsi="宋体"/>
                <w:b/>
              </w:rPr>
            </w:pPr>
            <w:r>
              <w:rPr>
                <w:rFonts w:hint="eastAsia" w:ascii="宋体" w:hAnsi="宋体"/>
                <w:b/>
              </w:rPr>
              <w:t>服务内容</w:t>
            </w:r>
          </w:p>
        </w:tc>
        <w:tc>
          <w:tcPr>
            <w:tcW w:w="7563" w:type="dxa"/>
            <w:shd w:val="clear" w:color="auto" w:fill="D9D9D9"/>
            <w:vAlign w:val="center"/>
          </w:tcPr>
          <w:p>
            <w:pPr>
              <w:adjustRightInd w:val="0"/>
              <w:snapToGrid w:val="0"/>
              <w:jc w:val="center"/>
              <w:rPr>
                <w:rFonts w:hint="eastAsia" w:ascii="宋体" w:hAnsi="宋体"/>
                <w:b/>
              </w:rPr>
            </w:pPr>
            <w:r>
              <w:rPr>
                <w:rFonts w:hint="eastAsia" w:ascii="宋体" w:hAnsi="宋体"/>
                <w:b/>
              </w:rPr>
              <w:t>需求描述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配备专属服务队伍</w:t>
            </w:r>
          </w:p>
        </w:tc>
        <w:tc>
          <w:tcPr>
            <w:tcW w:w="7563" w:type="dxa"/>
            <w:vAlign w:val="center"/>
          </w:tcPr>
          <w:p>
            <w:pPr>
              <w:adjustRightInd w:val="0"/>
              <w:snapToGrid w:val="0"/>
              <w:rPr>
                <w:rFonts w:hint="eastAsia" w:ascii="宋体" w:hAnsi="宋体"/>
              </w:rPr>
            </w:pPr>
            <w:r>
              <w:rPr>
                <w:rFonts w:hint="eastAsia" w:ascii="宋体" w:hAnsi="宋体"/>
              </w:rPr>
              <w:t>为医院指派一名项目经理，统一协调技术服务，并作为与采购人日常联络接口人。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项目经理为医院提供7×24小时专人专线电话技术支持服务。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配备培训工程师、后台监控工程师、厂商工程师等运维服务专员。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Align w:val="center"/>
          </w:tcPr>
          <w:p>
            <w:pPr>
              <w:adjustRightInd w:val="0"/>
              <w:snapToGrid w:val="0"/>
              <w:rPr>
                <w:rFonts w:hint="eastAsia" w:ascii="宋体" w:hAnsi="宋体"/>
              </w:rPr>
            </w:pPr>
            <w:r>
              <w:rPr>
                <w:rFonts w:hint="eastAsia" w:ascii="宋体" w:hAnsi="宋体"/>
              </w:rPr>
              <w:t>快速服务响应</w:t>
            </w:r>
          </w:p>
        </w:tc>
        <w:tc>
          <w:tcPr>
            <w:tcW w:w="7563" w:type="dxa"/>
            <w:vAlign w:val="center"/>
          </w:tcPr>
          <w:p>
            <w:pPr>
              <w:adjustRightInd w:val="0"/>
              <w:snapToGrid w:val="0"/>
              <w:rPr>
                <w:rFonts w:hint="eastAsia" w:ascii="宋体" w:hAnsi="宋体"/>
              </w:rPr>
            </w:pPr>
            <w:r>
              <w:rPr>
                <w:rFonts w:hint="eastAsia" w:ascii="宋体" w:hAnsi="宋体"/>
              </w:rPr>
              <w:t>服务人员的电话或远程不能解决问题时，工程师需3个小时内到达医院现场解决问题。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医保集群容灾系统的监控和运维保障</w:t>
            </w:r>
          </w:p>
        </w:tc>
        <w:tc>
          <w:tcPr>
            <w:tcW w:w="7563" w:type="dxa"/>
            <w:vAlign w:val="center"/>
          </w:tcPr>
          <w:p>
            <w:pPr>
              <w:adjustRightInd w:val="0"/>
              <w:snapToGrid w:val="0"/>
              <w:rPr>
                <w:rFonts w:hint="eastAsia" w:ascii="宋体" w:hAnsi="宋体"/>
              </w:rPr>
            </w:pPr>
            <w:r>
              <w:rPr>
                <w:rFonts w:hint="eastAsia" w:ascii="宋体" w:hAnsi="宋体"/>
              </w:rPr>
              <w:t>负责医保集群容灾系统所有节点和设备（包括服务器、磁盘阵列机器、网络节点）的运行状况进行7*24在线实时监控。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负责集群系统之间的数据和程序同步情况进行7*24在线实时监控。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负责医保专网的接入和数据上传下载情况进行实时监控。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监控发现问题后，需通过网络远程及时处理问题；如远程不能解决问题，需派工程师到医院现场解决问题。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负责集群系统的所有设备进行系统补丁升级。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负责集群系统的所有设备进行杀毒软件和病毒库升级。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协调、协助厂商对硬件设备进行升级；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负责操作系统的监控及维护，保证系统可运行；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负责数据库的监控及维护，保证数据库可运行；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负责系统状态及操作系统的定期备份；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进行系统及数据库的性能优化；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对医院端集群系统的重新搭建；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医保应用补丁升级保障服务</w:t>
            </w:r>
          </w:p>
        </w:tc>
        <w:tc>
          <w:tcPr>
            <w:tcW w:w="7563" w:type="dxa"/>
            <w:vAlign w:val="center"/>
          </w:tcPr>
          <w:p>
            <w:pPr>
              <w:adjustRightInd w:val="0"/>
              <w:snapToGrid w:val="0"/>
              <w:rPr>
                <w:rFonts w:hint="eastAsia" w:ascii="宋体" w:hAnsi="宋体"/>
              </w:rPr>
            </w:pPr>
            <w:r>
              <w:rPr>
                <w:rFonts w:hint="eastAsia" w:ascii="宋体" w:hAnsi="宋体"/>
              </w:rPr>
              <w:t>在补丁程序发布前，提前告知医院补丁的内容、注意事项、数据接口变化等内容。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医保补丁程序发布后，通过远程或派工程师到医院现场的方式，为医院升级补丁。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医保重大补丁升级或更新，需派工程师到医院现场，保障升级更新后系统稳定运行。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医保补丁程序如涉及数据、接口、业务流程的重大变化，工程师需到医院现场进行技术培训和维护指导。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协助制定和演练医保业务应急方案</w:t>
            </w:r>
          </w:p>
        </w:tc>
        <w:tc>
          <w:tcPr>
            <w:tcW w:w="7563" w:type="dxa"/>
            <w:vAlign w:val="center"/>
          </w:tcPr>
          <w:p>
            <w:pPr>
              <w:adjustRightInd w:val="0"/>
              <w:snapToGrid w:val="0"/>
              <w:rPr>
                <w:rFonts w:hint="eastAsia" w:ascii="宋体" w:hAnsi="宋体"/>
              </w:rPr>
            </w:pPr>
            <w:r>
              <w:rPr>
                <w:rFonts w:hint="eastAsia" w:ascii="宋体" w:hAnsi="宋体"/>
              </w:rPr>
              <w:t>协助医院制定HIS系统故障的应急方案。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协助医院制定医保专网接入故障的应急方案。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协助医院制定院内局域网故障的应急方案。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协助医院对各种应急方案进行演练。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定期现场巡检</w:t>
            </w:r>
          </w:p>
        </w:tc>
        <w:tc>
          <w:tcPr>
            <w:tcW w:w="7563" w:type="dxa"/>
            <w:vAlign w:val="center"/>
          </w:tcPr>
          <w:p>
            <w:pPr>
              <w:adjustRightInd w:val="0"/>
              <w:snapToGrid w:val="0"/>
              <w:rPr>
                <w:rFonts w:hint="eastAsia" w:ascii="宋体" w:hAnsi="宋体"/>
              </w:rPr>
            </w:pPr>
            <w:r>
              <w:rPr>
                <w:rFonts w:hint="eastAsia" w:ascii="宋体" w:hAnsi="宋体"/>
              </w:rPr>
              <w:t>工程师至少每月1次到医院现场，对整个医保信息系统进行健康检查和巡检。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为医院提供书面的巡检报告。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Align w:val="center"/>
          </w:tcPr>
          <w:p>
            <w:pPr>
              <w:adjustRightInd w:val="0"/>
              <w:snapToGrid w:val="0"/>
              <w:rPr>
                <w:rFonts w:hint="eastAsia" w:ascii="宋体" w:hAnsi="宋体"/>
              </w:rPr>
            </w:pPr>
            <w:r>
              <w:rPr>
                <w:rFonts w:hint="eastAsia" w:ascii="宋体" w:hAnsi="宋体"/>
              </w:rPr>
              <w:t>提供个性化</w:t>
            </w:r>
          </w:p>
          <w:p>
            <w:pPr>
              <w:adjustRightInd w:val="0"/>
              <w:snapToGrid w:val="0"/>
              <w:rPr>
                <w:rFonts w:hint="eastAsia" w:ascii="宋体" w:hAnsi="宋体"/>
              </w:rPr>
            </w:pPr>
            <w:r>
              <w:rPr>
                <w:rFonts w:hint="eastAsia" w:ascii="宋体" w:hAnsi="宋体"/>
              </w:rPr>
              <w:t>培训服务</w:t>
            </w:r>
          </w:p>
        </w:tc>
        <w:tc>
          <w:tcPr>
            <w:tcW w:w="7563" w:type="dxa"/>
            <w:vAlign w:val="center"/>
          </w:tcPr>
          <w:p>
            <w:pPr>
              <w:adjustRightInd w:val="0"/>
              <w:snapToGrid w:val="0"/>
              <w:rPr>
                <w:rFonts w:hint="eastAsia" w:ascii="宋体" w:hAnsi="宋体"/>
              </w:rPr>
            </w:pPr>
            <w:r>
              <w:rPr>
                <w:rFonts w:hint="eastAsia" w:ascii="宋体" w:hAnsi="宋体"/>
              </w:rPr>
              <w:t>为医院提供各种个性化的专门培训，培训内容包括集群系统的运维知识、医保应用软件的操作、医保业务流程、医保系统与HIS系统的对接等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Align w:val="center"/>
          </w:tcPr>
          <w:p>
            <w:pPr>
              <w:adjustRightInd w:val="0"/>
              <w:snapToGrid w:val="0"/>
              <w:rPr>
                <w:rFonts w:hint="eastAsia" w:ascii="宋体" w:hAnsi="宋体"/>
              </w:rPr>
            </w:pPr>
            <w:r>
              <w:rPr>
                <w:rFonts w:hint="eastAsia" w:ascii="宋体" w:hAnsi="宋体"/>
              </w:rPr>
              <w:t>提供适当驻场服务</w:t>
            </w:r>
          </w:p>
        </w:tc>
        <w:tc>
          <w:tcPr>
            <w:tcW w:w="7563" w:type="dxa"/>
            <w:vAlign w:val="center"/>
          </w:tcPr>
          <w:p>
            <w:pPr>
              <w:adjustRightInd w:val="0"/>
              <w:snapToGrid w:val="0"/>
              <w:rPr>
                <w:rFonts w:hint="eastAsia" w:ascii="宋体" w:hAnsi="宋体"/>
              </w:rPr>
            </w:pPr>
            <w:r>
              <w:rPr>
                <w:rFonts w:hint="eastAsia" w:ascii="宋体" w:hAnsi="宋体"/>
              </w:rPr>
              <w:t>医院系统切换、重大事件等情况，可派工程师提供短期驻医院现场服务。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vAlign w:val="center"/>
          </w:tcPr>
          <w:p>
            <w:pPr>
              <w:adjustRightInd w:val="0"/>
              <w:snapToGrid w:val="0"/>
              <w:rPr>
                <w:rFonts w:hint="eastAsia" w:ascii="宋体" w:hAnsi="宋体"/>
              </w:rPr>
            </w:pPr>
            <w:r>
              <w:rPr>
                <w:rFonts w:hint="eastAsia" w:ascii="宋体" w:hAnsi="宋体"/>
              </w:rPr>
              <w:t>医保业务协查服务</w:t>
            </w:r>
          </w:p>
        </w:tc>
        <w:tc>
          <w:tcPr>
            <w:tcW w:w="7563" w:type="dxa"/>
            <w:vAlign w:val="center"/>
          </w:tcPr>
          <w:p>
            <w:pPr>
              <w:adjustRightInd w:val="0"/>
              <w:snapToGrid w:val="0"/>
              <w:rPr>
                <w:rFonts w:hint="eastAsia" w:ascii="宋体" w:hAnsi="宋体"/>
              </w:rPr>
            </w:pPr>
            <w:r>
              <w:rPr>
                <w:rFonts w:hint="eastAsia" w:ascii="宋体" w:hAnsi="宋体"/>
              </w:rPr>
              <w:t>每日巡查医院当天红名单文件下载和更新情况。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每日巡查医院医保数据上传及入库情况。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每日巡查医院医保数据备份情况。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vAlign w:val="center"/>
          </w:tcPr>
          <w:p>
            <w:pPr>
              <w:adjustRightInd w:val="0"/>
              <w:snapToGrid w:val="0"/>
              <w:ind w:firstLine="420" w:firstLineChars="200"/>
              <w:rPr>
                <w:rFonts w:hint="eastAsia" w:ascii="宋体" w:hAnsi="宋体"/>
              </w:rPr>
            </w:pPr>
          </w:p>
        </w:tc>
        <w:tc>
          <w:tcPr>
            <w:tcW w:w="7563" w:type="dxa"/>
            <w:vAlign w:val="center"/>
          </w:tcPr>
          <w:p>
            <w:pPr>
              <w:adjustRightInd w:val="0"/>
              <w:snapToGrid w:val="0"/>
              <w:rPr>
                <w:rFonts w:hint="eastAsia" w:ascii="宋体" w:hAnsi="宋体"/>
              </w:rPr>
            </w:pPr>
            <w:r>
              <w:rPr>
                <w:rFonts w:hint="eastAsia" w:ascii="宋体" w:hAnsi="宋体"/>
              </w:rPr>
              <w:t>巡查医院每个季度病案对照情况.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951" w:type="dxa"/>
            <w:vAlign w:val="center"/>
          </w:tcPr>
          <w:p>
            <w:pPr>
              <w:adjustRightInd w:val="0"/>
              <w:snapToGrid w:val="0"/>
              <w:rPr>
                <w:rFonts w:hint="eastAsia" w:ascii="宋体" w:hAnsi="宋体"/>
              </w:rPr>
            </w:pPr>
            <w:r>
              <w:rPr>
                <w:rFonts w:hint="eastAsia" w:ascii="宋体" w:hAnsi="宋体"/>
              </w:rPr>
              <w:t>服务承诺</w:t>
            </w:r>
          </w:p>
        </w:tc>
        <w:tc>
          <w:tcPr>
            <w:tcW w:w="7563" w:type="dxa"/>
            <w:vAlign w:val="center"/>
          </w:tcPr>
          <w:p>
            <w:pPr>
              <w:adjustRightInd w:val="0"/>
              <w:snapToGrid w:val="0"/>
              <w:rPr>
                <w:rFonts w:hint="eastAsia" w:ascii="宋体" w:hAnsi="宋体"/>
              </w:rPr>
            </w:pPr>
            <w:r>
              <w:rPr>
                <w:rFonts w:hint="eastAsia" w:ascii="宋体" w:hAnsi="宋体"/>
              </w:rPr>
              <w:t>全年医保系统的可用性大于99％</w:t>
            </w:r>
          </w:p>
        </w:tc>
      </w:tr>
    </w:tbl>
    <w:p>
      <w:pPr>
        <w:rPr>
          <w:rFonts w:hint="eastAsia"/>
        </w:rPr>
      </w:pPr>
    </w:p>
    <w:p/>
    <w:p>
      <w:pPr>
        <w:pStyle w:val="2"/>
        <w:spacing w:before="312"/>
        <w:rPr>
          <w:rFonts w:hint="eastAsia"/>
        </w:rPr>
      </w:pPr>
      <w:r>
        <w:rPr>
          <w:rFonts w:hint="eastAsia"/>
        </w:rPr>
        <w:t>评分标准</w:t>
      </w:r>
    </w:p>
    <w:p>
      <w:pPr>
        <w:pStyle w:val="3"/>
      </w:pPr>
      <w:r>
        <w:rPr>
          <w:rFonts w:hint="eastAsia"/>
        </w:rPr>
        <w:t>评标方法</w:t>
      </w:r>
    </w:p>
    <w:p>
      <w:pPr>
        <w:ind w:firstLine="480"/>
      </w:pPr>
      <w:r>
        <w:rPr>
          <w:rFonts w:hint="eastAsia"/>
        </w:rPr>
        <w:t>本次评标采用综合评分法，报价文件满足招标文件全部实质性要求且按照评审因素的量化指标评审得分最高的报价人为中标候选人。</w:t>
      </w:r>
    </w:p>
    <w:p>
      <w:pPr>
        <w:pStyle w:val="3"/>
      </w:pPr>
      <w:r>
        <w:rPr>
          <w:rFonts w:hint="eastAsia"/>
        </w:rPr>
        <w:t>评分标准</w:t>
      </w:r>
    </w:p>
    <w:tbl>
      <w:tblPr>
        <w:tblStyle w:val="20"/>
        <w:tblW w:w="88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7"/>
        <w:gridCol w:w="2725"/>
        <w:gridCol w:w="1376"/>
        <w:gridCol w:w="3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exact"/>
        </w:trPr>
        <w:tc>
          <w:tcPr>
            <w:tcW w:w="887" w:type="dxa"/>
            <w:vAlign w:val="center"/>
          </w:tcPr>
          <w:p>
            <w:pPr>
              <w:snapToGrid w:val="0"/>
              <w:ind w:right="-28"/>
              <w:jc w:val="center"/>
              <w:rPr>
                <w:rFonts w:hint="eastAsia" w:ascii="仿宋" w:hAnsi="仿宋" w:eastAsia="仿宋" w:cs="仿宋"/>
                <w:sz w:val="24"/>
              </w:rPr>
            </w:pPr>
            <w:r>
              <w:rPr>
                <w:rFonts w:hint="eastAsia" w:ascii="仿宋" w:hAnsi="仿宋" w:eastAsia="仿宋" w:cs="仿宋"/>
                <w:sz w:val="24"/>
              </w:rPr>
              <w:t>序号</w:t>
            </w:r>
          </w:p>
        </w:tc>
        <w:tc>
          <w:tcPr>
            <w:tcW w:w="2725" w:type="dxa"/>
            <w:vAlign w:val="center"/>
          </w:tcPr>
          <w:p>
            <w:pPr>
              <w:snapToGrid w:val="0"/>
              <w:jc w:val="center"/>
              <w:rPr>
                <w:rFonts w:hint="eastAsia" w:ascii="仿宋" w:hAnsi="仿宋" w:eastAsia="仿宋" w:cs="仿宋"/>
                <w:sz w:val="24"/>
              </w:rPr>
            </w:pPr>
            <w:r>
              <w:rPr>
                <w:rFonts w:hint="eastAsia" w:ascii="仿宋" w:hAnsi="仿宋" w:eastAsia="仿宋" w:cs="仿宋"/>
                <w:sz w:val="24"/>
              </w:rPr>
              <w:t>评分标准</w:t>
            </w:r>
          </w:p>
        </w:tc>
        <w:tc>
          <w:tcPr>
            <w:tcW w:w="1376" w:type="dxa"/>
            <w:vAlign w:val="center"/>
          </w:tcPr>
          <w:p>
            <w:pPr>
              <w:snapToGrid w:val="0"/>
              <w:ind w:left="113"/>
              <w:jc w:val="center"/>
              <w:rPr>
                <w:rFonts w:hint="eastAsia" w:ascii="仿宋" w:hAnsi="仿宋" w:eastAsia="仿宋" w:cs="仿宋"/>
                <w:sz w:val="24"/>
              </w:rPr>
            </w:pPr>
            <w:r>
              <w:rPr>
                <w:rFonts w:hint="eastAsia" w:ascii="仿宋" w:hAnsi="仿宋" w:eastAsia="仿宋" w:cs="仿宋"/>
                <w:sz w:val="24"/>
              </w:rPr>
              <w:t>分值</w:t>
            </w:r>
          </w:p>
        </w:tc>
        <w:tc>
          <w:tcPr>
            <w:tcW w:w="3854" w:type="dxa"/>
            <w:vAlign w:val="center"/>
          </w:tcPr>
          <w:p>
            <w:pPr>
              <w:snapToGrid w:val="0"/>
              <w:ind w:left="113"/>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exact"/>
        </w:trPr>
        <w:tc>
          <w:tcPr>
            <w:tcW w:w="887" w:type="dxa"/>
            <w:vAlign w:val="center"/>
          </w:tcPr>
          <w:p>
            <w:pPr>
              <w:ind w:right="-28"/>
              <w:jc w:val="center"/>
              <w:rPr>
                <w:rFonts w:hint="eastAsia" w:ascii="仿宋" w:hAnsi="仿宋" w:eastAsia="仿宋" w:cs="仿宋"/>
                <w:sz w:val="24"/>
              </w:rPr>
            </w:pPr>
            <w:r>
              <w:rPr>
                <w:rFonts w:hint="eastAsia" w:ascii="仿宋" w:hAnsi="仿宋" w:eastAsia="仿宋" w:cs="仿宋"/>
                <w:sz w:val="24"/>
              </w:rPr>
              <w:t>1</w:t>
            </w:r>
          </w:p>
        </w:tc>
        <w:tc>
          <w:tcPr>
            <w:tcW w:w="2725" w:type="dxa"/>
            <w:vAlign w:val="center"/>
          </w:tcPr>
          <w:p>
            <w:pPr>
              <w:jc w:val="center"/>
              <w:rPr>
                <w:rFonts w:hint="eastAsia" w:ascii="仿宋" w:hAnsi="仿宋" w:eastAsia="仿宋" w:cs="仿宋"/>
                <w:sz w:val="24"/>
              </w:rPr>
            </w:pPr>
            <w:r>
              <w:rPr>
                <w:rFonts w:hint="eastAsia" w:ascii="仿宋" w:hAnsi="仿宋" w:eastAsia="仿宋" w:cs="仿宋"/>
                <w:sz w:val="24"/>
              </w:rPr>
              <w:t>价格部分</w:t>
            </w:r>
          </w:p>
        </w:tc>
        <w:tc>
          <w:tcPr>
            <w:tcW w:w="1376" w:type="dxa"/>
            <w:vAlign w:val="center"/>
          </w:tcPr>
          <w:p>
            <w:pPr>
              <w:ind w:left="113"/>
              <w:jc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0</w:t>
            </w:r>
          </w:p>
        </w:tc>
        <w:tc>
          <w:tcPr>
            <w:tcW w:w="3854" w:type="dxa"/>
            <w:vMerge w:val="restart"/>
            <w:vAlign w:val="center"/>
          </w:tcPr>
          <w:p>
            <w:pPr>
              <w:ind w:left="113"/>
              <w:jc w:val="center"/>
              <w:rPr>
                <w:rFonts w:hint="eastAsia" w:ascii="仿宋" w:hAnsi="仿宋" w:eastAsia="仿宋" w:cs="仿宋"/>
                <w:sz w:val="24"/>
              </w:rPr>
            </w:pPr>
            <w:r>
              <w:rPr>
                <w:rFonts w:hint="eastAsia" w:ascii="仿宋" w:hAnsi="仿宋" w:eastAsia="仿宋" w:cs="仿宋"/>
                <w:sz w:val="24"/>
              </w:rPr>
              <w:t>详细的评审内容见下述评分标准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exact"/>
        </w:trPr>
        <w:tc>
          <w:tcPr>
            <w:tcW w:w="887" w:type="dxa"/>
            <w:vAlign w:val="center"/>
          </w:tcPr>
          <w:p>
            <w:pPr>
              <w:ind w:right="-28"/>
              <w:jc w:val="center"/>
              <w:rPr>
                <w:rFonts w:hint="eastAsia" w:ascii="仿宋" w:hAnsi="仿宋" w:eastAsia="仿宋" w:cs="仿宋"/>
                <w:sz w:val="24"/>
              </w:rPr>
            </w:pPr>
            <w:r>
              <w:rPr>
                <w:rFonts w:hint="eastAsia" w:ascii="仿宋" w:hAnsi="仿宋" w:eastAsia="仿宋" w:cs="仿宋"/>
                <w:sz w:val="24"/>
              </w:rPr>
              <w:t>2</w:t>
            </w:r>
          </w:p>
        </w:tc>
        <w:tc>
          <w:tcPr>
            <w:tcW w:w="2725" w:type="dxa"/>
            <w:vAlign w:val="center"/>
          </w:tcPr>
          <w:p>
            <w:pPr>
              <w:jc w:val="center"/>
              <w:rPr>
                <w:rFonts w:hint="eastAsia" w:ascii="仿宋" w:hAnsi="仿宋" w:eastAsia="仿宋" w:cs="仿宋"/>
                <w:sz w:val="24"/>
              </w:rPr>
            </w:pPr>
            <w:r>
              <w:rPr>
                <w:rFonts w:hint="eastAsia" w:ascii="仿宋" w:hAnsi="仿宋" w:eastAsia="仿宋" w:cs="仿宋"/>
                <w:sz w:val="24"/>
              </w:rPr>
              <w:t>商务部分</w:t>
            </w:r>
          </w:p>
        </w:tc>
        <w:tc>
          <w:tcPr>
            <w:tcW w:w="1376" w:type="dxa"/>
            <w:vAlign w:val="center"/>
          </w:tcPr>
          <w:p>
            <w:pPr>
              <w:ind w:left="113"/>
              <w:jc w:val="center"/>
              <w:rPr>
                <w:rFonts w:hint="eastAsia" w:ascii="仿宋" w:hAnsi="仿宋" w:eastAsia="仿宋" w:cs="仿宋"/>
                <w:sz w:val="24"/>
              </w:rPr>
            </w:pPr>
            <w:r>
              <w:rPr>
                <w:rFonts w:hint="eastAsia" w:ascii="仿宋" w:hAnsi="仿宋" w:eastAsia="仿宋" w:cs="仿宋"/>
                <w:sz w:val="24"/>
              </w:rPr>
              <w:t>20</w:t>
            </w:r>
          </w:p>
        </w:tc>
        <w:tc>
          <w:tcPr>
            <w:tcW w:w="3854" w:type="dxa"/>
            <w:vMerge w:val="continue"/>
            <w:vAlign w:val="center"/>
          </w:tcPr>
          <w:p>
            <w:pPr>
              <w:ind w:left="113"/>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exact"/>
        </w:trPr>
        <w:tc>
          <w:tcPr>
            <w:tcW w:w="887" w:type="dxa"/>
            <w:vAlign w:val="center"/>
          </w:tcPr>
          <w:p>
            <w:pPr>
              <w:ind w:right="-28"/>
              <w:jc w:val="center"/>
              <w:rPr>
                <w:rFonts w:hint="eastAsia" w:ascii="仿宋" w:hAnsi="仿宋" w:eastAsia="仿宋" w:cs="仿宋"/>
                <w:sz w:val="24"/>
              </w:rPr>
            </w:pPr>
            <w:r>
              <w:rPr>
                <w:rFonts w:hint="eastAsia" w:ascii="仿宋" w:hAnsi="仿宋" w:eastAsia="仿宋" w:cs="仿宋"/>
                <w:sz w:val="24"/>
              </w:rPr>
              <w:t>3</w:t>
            </w:r>
          </w:p>
          <w:p>
            <w:pPr>
              <w:ind w:right="-28"/>
              <w:jc w:val="center"/>
              <w:rPr>
                <w:rFonts w:hint="eastAsia" w:ascii="仿宋" w:hAnsi="仿宋" w:eastAsia="仿宋" w:cs="仿宋"/>
                <w:sz w:val="24"/>
              </w:rPr>
            </w:pPr>
            <w:r>
              <w:rPr>
                <w:rFonts w:hint="eastAsia" w:ascii="仿宋" w:hAnsi="仿宋" w:eastAsia="仿宋" w:cs="仿宋"/>
                <w:sz w:val="24"/>
              </w:rPr>
              <w:t>34</w:t>
            </w:r>
          </w:p>
        </w:tc>
        <w:tc>
          <w:tcPr>
            <w:tcW w:w="2725" w:type="dxa"/>
            <w:vAlign w:val="center"/>
          </w:tcPr>
          <w:p>
            <w:pPr>
              <w:jc w:val="center"/>
              <w:rPr>
                <w:rFonts w:hint="eastAsia" w:ascii="仿宋" w:hAnsi="仿宋" w:eastAsia="仿宋" w:cs="仿宋"/>
                <w:sz w:val="24"/>
              </w:rPr>
            </w:pPr>
            <w:r>
              <w:rPr>
                <w:rFonts w:hint="eastAsia" w:ascii="仿宋" w:hAnsi="仿宋" w:eastAsia="仿宋" w:cs="仿宋"/>
                <w:sz w:val="24"/>
              </w:rPr>
              <w:t>技术部分</w:t>
            </w:r>
          </w:p>
        </w:tc>
        <w:tc>
          <w:tcPr>
            <w:tcW w:w="1376" w:type="dxa"/>
            <w:vAlign w:val="center"/>
          </w:tcPr>
          <w:p>
            <w:pPr>
              <w:ind w:left="113"/>
              <w:jc w:val="cente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0</w:t>
            </w:r>
          </w:p>
        </w:tc>
        <w:tc>
          <w:tcPr>
            <w:tcW w:w="3854" w:type="dxa"/>
            <w:vMerge w:val="continue"/>
            <w:vAlign w:val="center"/>
          </w:tcPr>
          <w:p>
            <w:pPr>
              <w:ind w:left="113"/>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exact"/>
        </w:trPr>
        <w:tc>
          <w:tcPr>
            <w:tcW w:w="3612" w:type="dxa"/>
            <w:gridSpan w:val="2"/>
            <w:vAlign w:val="center"/>
          </w:tcPr>
          <w:p>
            <w:pPr>
              <w:ind w:left="113"/>
              <w:jc w:val="center"/>
              <w:rPr>
                <w:rFonts w:hint="eastAsia" w:ascii="仿宋" w:hAnsi="仿宋" w:eastAsia="仿宋" w:cs="仿宋"/>
                <w:sz w:val="24"/>
              </w:rPr>
            </w:pPr>
            <w:r>
              <w:rPr>
                <w:rFonts w:hint="eastAsia" w:ascii="仿宋" w:hAnsi="仿宋" w:eastAsia="仿宋" w:cs="仿宋"/>
                <w:sz w:val="24"/>
              </w:rPr>
              <w:t>合计</w:t>
            </w:r>
          </w:p>
        </w:tc>
        <w:tc>
          <w:tcPr>
            <w:tcW w:w="1376" w:type="dxa"/>
            <w:vAlign w:val="center"/>
          </w:tcPr>
          <w:p>
            <w:pPr>
              <w:ind w:left="113"/>
              <w:jc w:val="center"/>
              <w:rPr>
                <w:rFonts w:hint="eastAsia" w:ascii="仿宋" w:hAnsi="仿宋" w:eastAsia="仿宋" w:cs="仿宋"/>
                <w:sz w:val="24"/>
              </w:rPr>
            </w:pPr>
            <w:r>
              <w:rPr>
                <w:rFonts w:hint="eastAsia" w:ascii="仿宋" w:hAnsi="仿宋" w:eastAsia="仿宋" w:cs="仿宋"/>
                <w:sz w:val="24"/>
              </w:rPr>
              <w:t>100</w:t>
            </w:r>
          </w:p>
        </w:tc>
        <w:tc>
          <w:tcPr>
            <w:tcW w:w="3854" w:type="dxa"/>
            <w:vAlign w:val="center"/>
          </w:tcPr>
          <w:p>
            <w:pPr>
              <w:ind w:left="113"/>
              <w:jc w:val="center"/>
              <w:rPr>
                <w:rFonts w:hint="eastAsia" w:ascii="仿宋" w:hAnsi="仿宋" w:eastAsia="仿宋" w:cs="仿宋"/>
                <w:sz w:val="24"/>
              </w:rPr>
            </w:pPr>
          </w:p>
        </w:tc>
      </w:tr>
    </w:tbl>
    <w:p>
      <w:pPr>
        <w:pStyle w:val="4"/>
      </w:pPr>
      <w:r>
        <w:rPr>
          <w:rFonts w:hint="eastAsia"/>
        </w:rPr>
        <w:t>评分细则</w:t>
      </w:r>
    </w:p>
    <w:tbl>
      <w:tblPr>
        <w:tblStyle w:val="30"/>
        <w:tblW w:w="9120" w:type="dxa"/>
        <w:tblInd w:w="-204"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31" w:type="dxa"/>
          <w:left w:w="108" w:type="dxa"/>
          <w:bottom w:w="0" w:type="dxa"/>
          <w:right w:w="2" w:type="dxa"/>
        </w:tblCellMar>
      </w:tblPr>
      <w:tblGrid>
        <w:gridCol w:w="739"/>
        <w:gridCol w:w="715"/>
        <w:gridCol w:w="1854"/>
        <w:gridCol w:w="581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353" w:hRule="atLeast"/>
        </w:trPr>
        <w:tc>
          <w:tcPr>
            <w:tcW w:w="739" w:type="dxa"/>
          </w:tcPr>
          <w:p>
            <w:pPr>
              <w:ind w:left="52"/>
              <w:rPr>
                <w:rFonts w:hint="eastAsia" w:ascii="宋体" w:hAnsi="宋体" w:eastAsia="宋体" w:cs="宋体"/>
                <w:lang w:eastAsia="en-US"/>
              </w:rPr>
            </w:pPr>
            <w:r>
              <w:rPr>
                <w:rFonts w:hint="eastAsia" w:ascii="宋体" w:hAnsi="宋体" w:eastAsia="宋体" w:cs="宋体"/>
                <w:lang w:eastAsia="en-US"/>
              </w:rPr>
              <w:t>序号</w:t>
            </w:r>
          </w:p>
        </w:tc>
        <w:tc>
          <w:tcPr>
            <w:tcW w:w="715" w:type="dxa"/>
          </w:tcPr>
          <w:p>
            <w:pPr>
              <w:ind w:left="38"/>
              <w:rPr>
                <w:rFonts w:hint="eastAsia" w:ascii="宋体" w:hAnsi="宋体" w:eastAsia="宋体" w:cs="宋体"/>
                <w:lang w:eastAsia="en-US"/>
              </w:rPr>
            </w:pPr>
            <w:r>
              <w:rPr>
                <w:rFonts w:hint="eastAsia" w:ascii="宋体" w:hAnsi="宋体" w:eastAsia="宋体" w:cs="宋体"/>
                <w:lang w:eastAsia="en-US"/>
              </w:rPr>
              <w:t>分值</w:t>
            </w:r>
          </w:p>
        </w:tc>
        <w:tc>
          <w:tcPr>
            <w:tcW w:w="1854" w:type="dxa"/>
          </w:tcPr>
          <w:p>
            <w:pPr>
              <w:ind w:right="106"/>
              <w:jc w:val="center"/>
              <w:rPr>
                <w:rFonts w:hint="eastAsia" w:ascii="宋体" w:hAnsi="宋体" w:eastAsia="宋体" w:cs="宋体"/>
                <w:lang w:eastAsia="en-US"/>
              </w:rPr>
            </w:pPr>
            <w:r>
              <w:rPr>
                <w:rFonts w:hint="eastAsia" w:ascii="宋体" w:hAnsi="宋体" w:eastAsia="宋体" w:cs="宋体"/>
                <w:lang w:eastAsia="en-US"/>
              </w:rPr>
              <w:t>评分因素分项</w:t>
            </w:r>
          </w:p>
        </w:tc>
        <w:tc>
          <w:tcPr>
            <w:tcW w:w="5812" w:type="dxa"/>
          </w:tcPr>
          <w:p>
            <w:pPr>
              <w:ind w:right="106"/>
              <w:jc w:val="center"/>
              <w:rPr>
                <w:rFonts w:hint="eastAsia" w:ascii="宋体" w:hAnsi="宋体" w:eastAsia="宋体" w:cs="宋体"/>
                <w:lang w:eastAsia="en-US"/>
              </w:rPr>
            </w:pPr>
            <w:r>
              <w:rPr>
                <w:rFonts w:hint="eastAsia" w:ascii="宋体" w:hAnsi="宋体" w:eastAsia="宋体" w:cs="宋体"/>
                <w:lang w:eastAsia="en-US"/>
              </w:rPr>
              <w:t>评分标准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090" w:hRule="atLeast"/>
        </w:trPr>
        <w:tc>
          <w:tcPr>
            <w:tcW w:w="739" w:type="dxa"/>
            <w:vAlign w:val="center"/>
          </w:tcPr>
          <w:p>
            <w:pPr>
              <w:ind w:left="52"/>
              <w:rPr>
                <w:rFonts w:hint="eastAsia" w:ascii="宋体" w:hAnsi="宋体" w:eastAsia="宋体" w:cs="宋体"/>
                <w:lang w:eastAsia="en-US"/>
              </w:rPr>
            </w:pPr>
            <w:r>
              <w:rPr>
                <w:rFonts w:hint="eastAsia" w:ascii="宋体" w:hAnsi="宋体" w:eastAsia="宋体" w:cs="宋体"/>
                <w:lang w:eastAsia="en-US"/>
              </w:rPr>
              <w:t>价格</w:t>
            </w:r>
          </w:p>
        </w:tc>
        <w:tc>
          <w:tcPr>
            <w:tcW w:w="715" w:type="dxa"/>
            <w:vAlign w:val="center"/>
          </w:tcPr>
          <w:p>
            <w:pPr>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en-US"/>
              </w:rPr>
              <w:t>0</w:t>
            </w:r>
          </w:p>
        </w:tc>
        <w:tc>
          <w:tcPr>
            <w:tcW w:w="1854" w:type="dxa"/>
            <w:vAlign w:val="center"/>
          </w:tcPr>
          <w:p>
            <w:pPr>
              <w:rPr>
                <w:rFonts w:hint="eastAsia" w:ascii="宋体" w:hAnsi="宋体" w:eastAsia="宋体" w:cs="宋体"/>
                <w:lang w:eastAsia="en-US"/>
              </w:rPr>
            </w:pPr>
            <w:r>
              <w:rPr>
                <w:rFonts w:hint="eastAsia" w:ascii="宋体" w:hAnsi="宋体" w:eastAsia="宋体" w:cs="宋体"/>
                <w:lang w:eastAsia="en-US"/>
              </w:rPr>
              <w:t>评标价格</w:t>
            </w:r>
          </w:p>
        </w:tc>
        <w:tc>
          <w:tcPr>
            <w:tcW w:w="5812" w:type="dxa"/>
          </w:tcPr>
          <w:p>
            <w:pPr>
              <w:rPr>
                <w:rFonts w:hint="eastAsia" w:ascii="宋体" w:hAnsi="宋体" w:eastAsia="宋体" w:cs="宋体"/>
                <w:lang w:eastAsia="zh-CN"/>
              </w:rPr>
            </w:pPr>
            <w:r>
              <w:rPr>
                <w:rFonts w:hint="eastAsia" w:ascii="宋体" w:hAnsi="宋体" w:eastAsia="宋体" w:cs="宋体"/>
                <w:lang w:eastAsia="zh-CN"/>
              </w:rPr>
              <w:t>评标价格分数=（评标基准价/投标报价）×价格权重（</w:t>
            </w:r>
            <w:r>
              <w:rPr>
                <w:rFonts w:hint="eastAsia" w:ascii="宋体" w:hAnsi="宋体" w:eastAsia="宋体" w:cs="宋体"/>
                <w:lang w:val="en-US" w:eastAsia="zh-CN"/>
              </w:rPr>
              <w:t>1</w:t>
            </w:r>
            <w:r>
              <w:rPr>
                <w:rFonts w:hint="eastAsia" w:ascii="宋体" w:hAnsi="宋体" w:eastAsia="宋体" w:cs="宋体"/>
                <w:lang w:eastAsia="zh-CN"/>
              </w:rPr>
              <w:t>0%）×100</w:t>
            </w:r>
          </w:p>
          <w:p>
            <w:pPr>
              <w:rPr>
                <w:rFonts w:hint="eastAsia" w:ascii="宋体" w:hAnsi="宋体" w:eastAsia="宋体" w:cs="宋体"/>
                <w:lang w:eastAsia="zh-CN"/>
              </w:rPr>
            </w:pPr>
            <w:r>
              <w:rPr>
                <w:rFonts w:hint="eastAsia" w:ascii="宋体" w:hAnsi="宋体" w:eastAsia="宋体" w:cs="宋体"/>
                <w:lang w:eastAsia="zh-CN"/>
              </w:rPr>
              <w:t>备注：实质性响应招标文件要求且价格 低的投标报价为评标基准价</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104" w:hRule="atLeast"/>
        </w:trPr>
        <w:tc>
          <w:tcPr>
            <w:tcW w:w="739" w:type="dxa"/>
            <w:vMerge w:val="restart"/>
            <w:vAlign w:val="center"/>
          </w:tcPr>
          <w:p>
            <w:pPr>
              <w:jc w:val="center"/>
              <w:rPr>
                <w:rFonts w:hint="eastAsia" w:ascii="宋体" w:hAnsi="宋体" w:eastAsia="宋体" w:cs="宋体"/>
                <w:lang w:eastAsia="en-US"/>
              </w:rPr>
            </w:pPr>
            <w:r>
              <w:rPr>
                <w:rFonts w:hint="eastAsia" w:ascii="宋体" w:hAnsi="宋体" w:eastAsia="宋体" w:cs="宋体"/>
                <w:lang w:eastAsia="en-US"/>
              </w:rPr>
              <w:t>商务部分</w:t>
            </w:r>
          </w:p>
        </w:tc>
        <w:tc>
          <w:tcPr>
            <w:tcW w:w="715" w:type="dxa"/>
            <w:vMerge w:val="restart"/>
            <w:vAlign w:val="center"/>
          </w:tcPr>
          <w:p>
            <w:pPr>
              <w:rPr>
                <w:rFonts w:hint="eastAsia" w:ascii="宋体" w:hAnsi="宋体" w:eastAsia="宋体" w:cs="宋体"/>
                <w:lang w:eastAsia="zh-CN"/>
              </w:rPr>
            </w:pPr>
            <w:r>
              <w:rPr>
                <w:rFonts w:hint="eastAsia" w:ascii="宋体" w:hAnsi="宋体" w:eastAsia="宋体" w:cs="宋体"/>
                <w:lang w:eastAsia="zh-CN"/>
              </w:rPr>
              <w:t>20</w:t>
            </w:r>
          </w:p>
        </w:tc>
        <w:tc>
          <w:tcPr>
            <w:tcW w:w="1854" w:type="dxa"/>
            <w:vAlign w:val="center"/>
          </w:tcPr>
          <w:p>
            <w:pPr>
              <w:rPr>
                <w:rFonts w:hint="eastAsia" w:ascii="宋体" w:hAnsi="宋体" w:eastAsia="宋体" w:cs="宋体"/>
                <w:lang w:eastAsia="zh-CN"/>
              </w:rPr>
            </w:pPr>
            <w:r>
              <w:rPr>
                <w:rFonts w:hint="eastAsia" w:ascii="宋体" w:hAnsi="宋体" w:eastAsia="宋体" w:cs="宋体"/>
                <w:lang w:eastAsia="zh-CN"/>
              </w:rPr>
              <w:t>企业资质</w:t>
            </w:r>
          </w:p>
          <w:p>
            <w:pPr>
              <w:rPr>
                <w:rFonts w:hint="eastAsia" w:ascii="宋体" w:hAnsi="宋体" w:eastAsia="宋体" w:cs="宋体"/>
                <w:lang w:eastAsia="en-US"/>
              </w:rPr>
            </w:pPr>
            <w:r>
              <w:rPr>
                <w:rFonts w:hint="eastAsia" w:ascii="宋体" w:hAnsi="宋体" w:eastAsia="宋体" w:cs="宋体"/>
                <w:lang w:eastAsia="en-US"/>
              </w:rPr>
              <w:t>（1</w:t>
            </w:r>
            <w:r>
              <w:rPr>
                <w:rFonts w:hint="eastAsia" w:ascii="宋体" w:hAnsi="宋体" w:eastAsia="宋体" w:cs="宋体"/>
                <w:lang w:eastAsia="zh-CN"/>
              </w:rPr>
              <w:t>4</w:t>
            </w:r>
            <w:r>
              <w:rPr>
                <w:rFonts w:hint="eastAsia" w:ascii="宋体" w:hAnsi="宋体" w:eastAsia="宋体" w:cs="宋体"/>
                <w:lang w:eastAsia="en-US"/>
              </w:rPr>
              <w:t>分）</w:t>
            </w:r>
          </w:p>
        </w:tc>
        <w:tc>
          <w:tcPr>
            <w:tcW w:w="5812" w:type="dxa"/>
          </w:tcPr>
          <w:p>
            <w:pPr>
              <w:rPr>
                <w:rFonts w:hint="eastAsia" w:ascii="宋体" w:hAnsi="宋体" w:eastAsia="宋体" w:cs="宋体"/>
                <w:lang w:eastAsia="zh-CN"/>
              </w:rPr>
            </w:pPr>
            <w:r>
              <w:rPr>
                <w:rFonts w:hint="eastAsia" w:ascii="宋体" w:hAnsi="宋体" w:eastAsia="宋体" w:cs="宋体"/>
                <w:lang w:eastAsia="zh-CN"/>
              </w:rPr>
              <w:t>投标人具有ISO9001质量管理体系认证证书, 得2分；</w:t>
            </w:r>
          </w:p>
          <w:p>
            <w:pPr>
              <w:rPr>
                <w:rFonts w:hint="eastAsia" w:ascii="宋体" w:hAnsi="宋体" w:eastAsia="宋体" w:cs="宋体"/>
                <w:lang w:eastAsia="zh-CN"/>
              </w:rPr>
            </w:pPr>
            <w:r>
              <w:rPr>
                <w:rFonts w:hint="eastAsia" w:ascii="宋体" w:hAnsi="宋体" w:eastAsia="宋体" w:cs="宋体"/>
                <w:lang w:eastAsia="zh-CN"/>
              </w:rPr>
              <w:t>投标人具有ISO14001环境管理体系认证证书, 得2分；</w:t>
            </w:r>
          </w:p>
          <w:p>
            <w:pPr>
              <w:rPr>
                <w:rFonts w:hint="eastAsia" w:ascii="宋体" w:hAnsi="宋体" w:eastAsia="宋体" w:cs="宋体"/>
                <w:lang w:eastAsia="zh-CN"/>
              </w:rPr>
            </w:pPr>
            <w:r>
              <w:rPr>
                <w:rFonts w:hint="eastAsia" w:ascii="宋体" w:hAnsi="宋体" w:eastAsia="宋体" w:cs="宋体"/>
                <w:lang w:eastAsia="zh-CN"/>
              </w:rPr>
              <w:t>投标人具有ISO27001信息安全管理体系认证证书, 得2分；</w:t>
            </w:r>
          </w:p>
          <w:p>
            <w:pPr>
              <w:rPr>
                <w:rFonts w:hint="eastAsia" w:ascii="宋体" w:hAnsi="宋体" w:eastAsia="宋体" w:cs="宋体"/>
                <w:lang w:eastAsia="zh-CN"/>
              </w:rPr>
            </w:pPr>
            <w:r>
              <w:rPr>
                <w:rFonts w:hint="eastAsia" w:ascii="宋体" w:hAnsi="宋体" w:eastAsia="宋体" w:cs="宋体"/>
                <w:lang w:eastAsia="zh-CN"/>
              </w:rPr>
              <w:t>投标人具有ISO45001职业健康体系认证证书，得2分；</w:t>
            </w:r>
          </w:p>
          <w:p>
            <w:pPr>
              <w:rPr>
                <w:rFonts w:hint="eastAsia" w:ascii="宋体" w:hAnsi="宋体" w:eastAsia="宋体" w:cs="宋体"/>
                <w:lang w:eastAsia="zh-CN"/>
              </w:rPr>
            </w:pPr>
            <w:r>
              <w:rPr>
                <w:rFonts w:hint="eastAsia" w:ascii="宋体" w:hAnsi="宋体" w:eastAsia="宋体" w:cs="宋体"/>
                <w:lang w:eastAsia="zh-CN"/>
              </w:rPr>
              <w:t>投标人具有高新技术企业证书，得2分；</w:t>
            </w:r>
          </w:p>
          <w:p>
            <w:pPr>
              <w:rPr>
                <w:rFonts w:hint="eastAsia" w:ascii="宋体" w:hAnsi="宋体" w:eastAsia="宋体" w:cs="宋体"/>
                <w:lang w:eastAsia="zh-CN"/>
              </w:rPr>
            </w:pPr>
            <w:r>
              <w:rPr>
                <w:rFonts w:hint="eastAsia" w:ascii="宋体" w:hAnsi="宋体" w:eastAsia="宋体" w:cs="宋体"/>
                <w:lang w:eastAsia="zh-CN"/>
              </w:rPr>
              <w:t>投标人具有ITSS信息技术服务标准三级及以上证书，得2分；</w:t>
            </w:r>
          </w:p>
          <w:p>
            <w:pPr>
              <w:rPr>
                <w:rFonts w:hint="eastAsia" w:ascii="宋体" w:hAnsi="宋体" w:eastAsia="宋体" w:cs="宋体"/>
                <w:lang w:eastAsia="zh-CN"/>
              </w:rPr>
            </w:pPr>
            <w:r>
              <w:rPr>
                <w:rFonts w:hint="eastAsia" w:ascii="宋体" w:hAnsi="宋体" w:eastAsia="宋体" w:cs="宋体"/>
                <w:lang w:eastAsia="zh-CN"/>
              </w:rPr>
              <w:t>投标人具有CMMI 能力成熟度模型集成专项三级及以上证书，得2分；</w:t>
            </w:r>
          </w:p>
          <w:p>
            <w:pPr>
              <w:rPr>
                <w:rFonts w:hint="eastAsia" w:ascii="宋体" w:hAnsi="宋体" w:eastAsia="宋体" w:cs="宋体"/>
                <w:lang w:eastAsia="zh-CN"/>
              </w:rPr>
            </w:pPr>
            <w:r>
              <w:rPr>
                <w:rFonts w:hint="eastAsia" w:ascii="宋体" w:hAnsi="宋体" w:eastAsia="宋体" w:cs="宋体"/>
                <w:lang w:eastAsia="zh-CN"/>
              </w:rPr>
              <w:t>没有得0分。</w:t>
            </w:r>
          </w:p>
          <w:p>
            <w:pPr>
              <w:rPr>
                <w:rFonts w:hint="eastAsia" w:ascii="宋体" w:hAnsi="宋体" w:eastAsia="宋体" w:cs="宋体"/>
                <w:lang w:eastAsia="zh-CN"/>
              </w:rPr>
            </w:pPr>
            <w:r>
              <w:rPr>
                <w:rFonts w:hint="eastAsia" w:ascii="宋体" w:hAnsi="宋体" w:eastAsia="宋体" w:cs="宋体"/>
                <w:lang w:eastAsia="zh-CN"/>
              </w:rPr>
              <w:t>注：须提供证书复印件加盖公章，否则不予认可。</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104" w:hRule="atLeast"/>
        </w:trPr>
        <w:tc>
          <w:tcPr>
            <w:tcW w:w="0" w:type="auto"/>
            <w:vMerge w:val="continue"/>
            <w:vAlign w:val="bottom"/>
          </w:tcPr>
          <w:p>
            <w:pPr>
              <w:spacing w:after="160"/>
              <w:rPr>
                <w:rFonts w:hint="eastAsia" w:ascii="宋体" w:hAnsi="宋体" w:eastAsia="宋体" w:cs="宋体"/>
                <w:lang w:eastAsia="zh-CN"/>
              </w:rPr>
            </w:pPr>
          </w:p>
        </w:tc>
        <w:tc>
          <w:tcPr>
            <w:tcW w:w="0" w:type="auto"/>
            <w:vMerge w:val="continue"/>
          </w:tcPr>
          <w:p>
            <w:pPr>
              <w:spacing w:after="160"/>
              <w:rPr>
                <w:rFonts w:hint="eastAsia" w:ascii="宋体" w:hAnsi="宋体" w:eastAsia="宋体" w:cs="宋体"/>
                <w:lang w:eastAsia="zh-CN"/>
              </w:rPr>
            </w:pPr>
          </w:p>
        </w:tc>
        <w:tc>
          <w:tcPr>
            <w:tcW w:w="1854" w:type="dxa"/>
            <w:vAlign w:val="center"/>
          </w:tcPr>
          <w:p>
            <w:pPr>
              <w:rPr>
                <w:rFonts w:hint="eastAsia" w:ascii="宋体" w:hAnsi="宋体" w:eastAsia="宋体" w:cs="宋体"/>
                <w:lang w:eastAsia="zh-CN"/>
              </w:rPr>
            </w:pPr>
            <w:r>
              <w:rPr>
                <w:rFonts w:hint="eastAsia" w:ascii="宋体" w:hAnsi="宋体" w:eastAsia="宋体" w:cs="宋体"/>
                <w:lang w:eastAsia="zh-CN"/>
              </w:rPr>
              <w:t>投标人完成类似项目业绩情况（6分）</w:t>
            </w:r>
          </w:p>
        </w:tc>
        <w:tc>
          <w:tcPr>
            <w:tcW w:w="5812" w:type="dxa"/>
          </w:tcPr>
          <w:p>
            <w:pPr>
              <w:ind w:right="101"/>
              <w:rPr>
                <w:rFonts w:hint="eastAsia" w:ascii="宋体" w:hAnsi="宋体" w:eastAsia="宋体" w:cs="宋体"/>
                <w:lang w:eastAsia="zh-CN"/>
              </w:rPr>
            </w:pPr>
            <w:r>
              <w:rPr>
                <w:rFonts w:hint="eastAsia" w:ascii="宋体" w:hAnsi="宋体" w:eastAsia="宋体" w:cs="宋体"/>
                <w:lang w:eastAsia="zh-CN"/>
              </w:rPr>
              <w:t>根据投标人近三年（202</w:t>
            </w:r>
            <w:r>
              <w:rPr>
                <w:rFonts w:hint="eastAsia" w:ascii="宋体" w:hAnsi="宋体" w:eastAsia="宋体" w:cs="宋体"/>
                <w:lang w:val="en-US" w:eastAsia="zh-CN"/>
              </w:rPr>
              <w:t>1</w:t>
            </w:r>
            <w:r>
              <w:rPr>
                <w:rFonts w:hint="eastAsia" w:ascii="宋体" w:hAnsi="宋体" w:eastAsia="宋体" w:cs="宋体"/>
                <w:lang w:eastAsia="zh-CN"/>
              </w:rPr>
              <w:t>年1月至今）中国境内类似项目业绩进行评价，（须提供合同首页、合同金额页、盖章页复印件并加盖本单位公章），提供一个得2分，最多6分。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105" w:hRule="atLeast"/>
        </w:trPr>
        <w:tc>
          <w:tcPr>
            <w:tcW w:w="739" w:type="dxa"/>
            <w:vMerge w:val="restart"/>
            <w:vAlign w:val="center"/>
          </w:tcPr>
          <w:p>
            <w:pPr>
              <w:jc w:val="center"/>
              <w:rPr>
                <w:rFonts w:hint="eastAsia" w:ascii="宋体" w:hAnsi="宋体" w:eastAsia="宋体" w:cs="宋体"/>
                <w:lang w:eastAsia="en-US"/>
              </w:rPr>
            </w:pPr>
            <w:r>
              <w:rPr>
                <w:rFonts w:hint="eastAsia" w:ascii="宋体" w:hAnsi="宋体" w:eastAsia="宋体" w:cs="宋体"/>
                <w:lang w:eastAsia="en-US"/>
              </w:rPr>
              <w:t>技术部分</w:t>
            </w:r>
          </w:p>
        </w:tc>
        <w:tc>
          <w:tcPr>
            <w:tcW w:w="715" w:type="dxa"/>
            <w:vMerge w:val="restart"/>
            <w:vAlign w:val="center"/>
          </w:tcPr>
          <w:p>
            <w:pPr>
              <w:rPr>
                <w:rFonts w:hint="eastAsia" w:ascii="宋体" w:hAnsi="宋体" w:eastAsia="宋体" w:cs="宋体"/>
                <w:lang w:eastAsia="zh-CN"/>
              </w:rPr>
            </w:pPr>
            <w:r>
              <w:rPr>
                <w:rFonts w:hint="eastAsia" w:ascii="宋体" w:hAnsi="宋体" w:cs="宋体"/>
                <w:lang w:val="en-US" w:eastAsia="zh-CN"/>
              </w:rPr>
              <w:t>7</w:t>
            </w:r>
            <w:r>
              <w:rPr>
                <w:rFonts w:hint="eastAsia" w:ascii="宋体" w:hAnsi="宋体" w:eastAsia="宋体" w:cs="宋体"/>
                <w:lang w:eastAsia="zh-CN"/>
              </w:rPr>
              <w:t>0</w:t>
            </w:r>
          </w:p>
        </w:tc>
        <w:tc>
          <w:tcPr>
            <w:tcW w:w="1854" w:type="dxa"/>
            <w:vAlign w:val="center"/>
          </w:tcPr>
          <w:p>
            <w:pPr>
              <w:rPr>
                <w:rFonts w:hint="eastAsia" w:ascii="宋体" w:hAnsi="宋体" w:eastAsia="宋体" w:cs="宋体"/>
                <w:lang w:eastAsia="zh-CN"/>
              </w:rPr>
            </w:pPr>
            <w:r>
              <w:rPr>
                <w:rFonts w:hint="eastAsia" w:ascii="宋体" w:hAnsi="宋体" w:cs="宋体"/>
                <w:lang w:val="en-US" w:eastAsia="zh-CN"/>
              </w:rPr>
              <w:t>技术功能响应情况</w:t>
            </w:r>
            <w:r>
              <w:rPr>
                <w:rFonts w:hint="eastAsia" w:ascii="宋体" w:hAnsi="宋体" w:eastAsia="宋体" w:cs="宋体"/>
                <w:lang w:eastAsia="zh-CN"/>
              </w:rPr>
              <w:t>（</w:t>
            </w:r>
            <w:r>
              <w:rPr>
                <w:rFonts w:hint="eastAsia" w:ascii="宋体" w:hAnsi="宋体" w:cs="宋体"/>
                <w:lang w:val="en-US" w:eastAsia="zh-CN"/>
              </w:rPr>
              <w:t>30</w:t>
            </w:r>
            <w:r>
              <w:rPr>
                <w:rFonts w:hint="eastAsia" w:ascii="宋体" w:hAnsi="宋体" w:eastAsia="宋体" w:cs="宋体"/>
                <w:lang w:eastAsia="zh-CN"/>
              </w:rPr>
              <w:t xml:space="preserve"> 分）</w:t>
            </w:r>
          </w:p>
        </w:tc>
        <w:tc>
          <w:tcPr>
            <w:tcW w:w="5812" w:type="dxa"/>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w:t>
            </w:r>
            <w:r>
              <w:rPr>
                <w:rFonts w:hint="eastAsia" w:ascii="宋体" w:hAnsi="宋体" w:cs="宋体"/>
                <w:i w:val="0"/>
                <w:iCs w:val="0"/>
                <w:color w:val="000000"/>
                <w:kern w:val="0"/>
                <w:sz w:val="21"/>
                <w:szCs w:val="21"/>
                <w:u w:val="none"/>
                <w:lang w:val="en-US" w:eastAsia="zh-CN" w:bidi="ar"/>
              </w:rPr>
              <w:t>对</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技术要求、功能要求的具体响应情况</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w:t>
            </w:r>
            <w:r>
              <w:rPr>
                <w:rFonts w:hint="eastAsia" w:ascii="宋体" w:hAnsi="宋体" w:cs="宋体"/>
                <w:i w:val="0"/>
                <w:iCs w:val="0"/>
                <w:color w:val="000000"/>
                <w:kern w:val="0"/>
                <w:sz w:val="21"/>
                <w:szCs w:val="21"/>
                <w:u w:val="none"/>
                <w:lang w:val="en-US" w:eastAsia="zh-CN" w:bidi="ar"/>
              </w:rPr>
              <w:t>完全符合技术要求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，得 30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w:t>
            </w:r>
            <w:r>
              <w:rPr>
                <w:rFonts w:hint="eastAsia" w:ascii="宋体" w:hAnsi="宋体" w:cs="宋体"/>
                <w:i w:val="0"/>
                <w:iCs w:val="0"/>
                <w:color w:val="000000"/>
                <w:kern w:val="0"/>
                <w:sz w:val="21"/>
                <w:szCs w:val="21"/>
                <w:u w:val="none"/>
                <w:lang w:val="en-US" w:eastAsia="zh-CN" w:bidi="ar"/>
              </w:rPr>
              <w:t>部分</w:t>
            </w:r>
            <w:r>
              <w:rPr>
                <w:rFonts w:hint="eastAsia" w:ascii="宋体" w:hAnsi="宋体" w:eastAsia="宋体" w:cs="宋体"/>
                <w:i w:val="0"/>
                <w:iCs w:val="0"/>
                <w:color w:val="000000"/>
                <w:kern w:val="0"/>
                <w:sz w:val="21"/>
                <w:szCs w:val="21"/>
                <w:u w:val="none"/>
                <w:lang w:val="en-US" w:eastAsia="zh-CN" w:bidi="ar"/>
              </w:rPr>
              <w:t>符合</w:t>
            </w:r>
            <w:r>
              <w:rPr>
                <w:rFonts w:hint="eastAsia" w:ascii="宋体" w:hAnsi="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，得 20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w:t>
            </w:r>
            <w:r>
              <w:rPr>
                <w:rFonts w:hint="eastAsia" w:ascii="宋体" w:hAnsi="宋体" w:cs="宋体"/>
                <w:i w:val="0"/>
                <w:iCs w:val="0"/>
                <w:color w:val="000000"/>
                <w:kern w:val="0"/>
                <w:sz w:val="21"/>
                <w:szCs w:val="21"/>
                <w:u w:val="none"/>
                <w:lang w:val="en-US" w:eastAsia="zh-CN" w:bidi="ar"/>
              </w:rPr>
              <w:t>基本符合技术要求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符合部分功能需要</w:t>
            </w:r>
            <w:r>
              <w:rPr>
                <w:rFonts w:hint="eastAsia" w:ascii="宋体" w:hAnsi="宋体" w:eastAsia="宋体" w:cs="宋体"/>
                <w:i w:val="0"/>
                <w:iCs w:val="0"/>
                <w:color w:val="000000"/>
                <w:kern w:val="0"/>
                <w:sz w:val="21"/>
                <w:szCs w:val="21"/>
                <w:u w:val="none"/>
                <w:lang w:val="en-US" w:eastAsia="zh-CN" w:bidi="ar"/>
              </w:rPr>
              <w:t>，得 10分。</w:t>
            </w:r>
          </w:p>
          <w:p>
            <w:pPr>
              <w:rPr>
                <w:rFonts w:hint="eastAsia" w:ascii="宋体" w:hAnsi="宋体" w:eastAsia="宋体" w:cs="宋体"/>
                <w:lang w:eastAsia="en-US"/>
              </w:rPr>
            </w:pPr>
            <w:r>
              <w:rPr>
                <w:rFonts w:hint="eastAsia" w:ascii="宋体" w:hAnsi="宋体" w:eastAsia="宋体" w:cs="宋体"/>
                <w:i w:val="0"/>
                <w:iCs w:val="0"/>
                <w:color w:val="000000"/>
                <w:kern w:val="0"/>
                <w:sz w:val="21"/>
                <w:szCs w:val="21"/>
                <w:u w:val="none"/>
                <w:lang w:val="en-US" w:eastAsia="zh-CN" w:bidi="ar"/>
              </w:rPr>
              <w:t xml:space="preserve">(4) </w:t>
            </w:r>
            <w:r>
              <w:rPr>
                <w:rFonts w:hint="eastAsia" w:ascii="宋体" w:hAnsi="宋体" w:cs="宋体"/>
                <w:i w:val="0"/>
                <w:iCs w:val="0"/>
                <w:color w:val="000000"/>
                <w:kern w:val="0"/>
                <w:sz w:val="21"/>
                <w:szCs w:val="21"/>
                <w:u w:val="none"/>
                <w:lang w:val="en-US" w:eastAsia="zh-CN" w:bidi="ar"/>
              </w:rPr>
              <w:t>完全不符合功能需要</w:t>
            </w:r>
            <w:r>
              <w:rPr>
                <w:rFonts w:hint="eastAsia" w:ascii="宋体" w:hAnsi="宋体" w:eastAsia="宋体" w:cs="宋体"/>
                <w:i w:val="0"/>
                <w:iCs w:val="0"/>
                <w:color w:val="000000"/>
                <w:kern w:val="0"/>
                <w:sz w:val="21"/>
                <w:szCs w:val="21"/>
                <w:u w:val="none"/>
                <w:lang w:val="en-US" w:eastAsia="zh-CN" w:bidi="ar"/>
              </w:rPr>
              <w:t>，得 0 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110" w:hRule="atLeast"/>
        </w:trPr>
        <w:tc>
          <w:tcPr>
            <w:tcW w:w="0" w:type="auto"/>
            <w:vMerge w:val="continue"/>
          </w:tcPr>
          <w:p>
            <w:pPr>
              <w:spacing w:after="160"/>
              <w:rPr>
                <w:rFonts w:hint="eastAsia" w:ascii="宋体" w:hAnsi="宋体" w:eastAsia="宋体" w:cs="宋体"/>
                <w:lang w:eastAsia="en-US"/>
              </w:rPr>
            </w:pPr>
          </w:p>
        </w:tc>
        <w:tc>
          <w:tcPr>
            <w:tcW w:w="0" w:type="auto"/>
            <w:vMerge w:val="continue"/>
          </w:tcPr>
          <w:p>
            <w:pPr>
              <w:spacing w:after="160"/>
              <w:rPr>
                <w:rFonts w:hint="eastAsia" w:ascii="宋体" w:hAnsi="宋体" w:eastAsia="宋体" w:cs="宋体"/>
                <w:lang w:eastAsia="en-US"/>
              </w:rPr>
            </w:pPr>
          </w:p>
        </w:tc>
        <w:tc>
          <w:tcPr>
            <w:tcW w:w="1854" w:type="dxa"/>
            <w:vAlign w:val="center"/>
          </w:tcPr>
          <w:p>
            <w:pPr>
              <w:rPr>
                <w:rFonts w:hint="eastAsia" w:ascii="宋体" w:hAnsi="宋体" w:eastAsia="宋体" w:cs="宋体"/>
                <w:lang w:eastAsia="zh-CN"/>
              </w:rPr>
            </w:pPr>
            <w:r>
              <w:rPr>
                <w:rFonts w:hint="eastAsia" w:ascii="宋体" w:hAnsi="宋体" w:eastAsia="宋体" w:cs="宋体"/>
                <w:lang w:eastAsia="zh-CN"/>
              </w:rPr>
              <w:t>项目团队（</w:t>
            </w:r>
            <w:r>
              <w:rPr>
                <w:rFonts w:hint="eastAsia" w:ascii="宋体" w:hAnsi="宋体" w:cs="宋体"/>
                <w:lang w:val="en-US" w:eastAsia="zh-CN"/>
              </w:rPr>
              <w:t>20</w:t>
            </w:r>
            <w:r>
              <w:rPr>
                <w:rFonts w:hint="eastAsia" w:ascii="宋体" w:hAnsi="宋体" w:eastAsia="宋体" w:cs="宋体"/>
                <w:lang w:eastAsia="zh-CN"/>
              </w:rPr>
              <w:t xml:space="preserve"> 分）</w:t>
            </w:r>
          </w:p>
        </w:tc>
        <w:tc>
          <w:tcPr>
            <w:tcW w:w="5812" w:type="dxa"/>
          </w:tcPr>
          <w:p>
            <w:pPr>
              <w:rPr>
                <w:rFonts w:hint="eastAsia" w:ascii="宋体" w:hAnsi="宋体" w:eastAsia="宋体" w:cs="宋体"/>
                <w:lang w:eastAsia="zh-CN"/>
              </w:rPr>
            </w:pPr>
            <w:r>
              <w:rPr>
                <w:rFonts w:hint="eastAsia" w:ascii="宋体" w:hAnsi="宋体" w:eastAsia="宋体" w:cs="宋体"/>
                <w:lang w:eastAsia="zh-CN"/>
              </w:rPr>
              <w:t>根据投标人项目人员安排合理性及满足项目实施需要情况进行评价：</w:t>
            </w:r>
          </w:p>
          <w:p>
            <w:pPr>
              <w:rPr>
                <w:rFonts w:hint="eastAsia" w:ascii="宋体" w:hAnsi="宋体" w:eastAsia="宋体" w:cs="宋体"/>
                <w:lang w:eastAsia="zh-CN"/>
              </w:rPr>
            </w:pPr>
            <w:r>
              <w:rPr>
                <w:rFonts w:hint="eastAsia" w:ascii="宋体" w:hAnsi="宋体" w:eastAsia="宋体" w:cs="宋体"/>
                <w:lang w:eastAsia="zh-CN"/>
              </w:rPr>
              <w:t>科学合理、满足岗位要求并提供优质服务，项目人员具有高级信息系统项目管理师资质证书，并具备多个医保系统运维项目经验得</w:t>
            </w:r>
            <w:r>
              <w:rPr>
                <w:rFonts w:hint="eastAsia" w:ascii="宋体" w:hAnsi="宋体" w:cs="宋体"/>
                <w:lang w:val="en-US" w:eastAsia="zh-CN"/>
              </w:rPr>
              <w:t>20</w:t>
            </w:r>
            <w:r>
              <w:rPr>
                <w:rFonts w:hint="eastAsia" w:ascii="宋体" w:hAnsi="宋体" w:eastAsia="宋体" w:cs="宋体"/>
                <w:lang w:eastAsia="zh-CN"/>
              </w:rPr>
              <w:t>分；</w:t>
            </w:r>
          </w:p>
          <w:p>
            <w:pPr>
              <w:rPr>
                <w:rFonts w:hint="eastAsia" w:ascii="宋体" w:hAnsi="宋体" w:eastAsia="宋体" w:cs="宋体"/>
                <w:lang w:eastAsia="zh-CN"/>
              </w:rPr>
            </w:pPr>
            <w:r>
              <w:rPr>
                <w:rFonts w:hint="eastAsia" w:ascii="宋体" w:hAnsi="宋体" w:eastAsia="宋体" w:cs="宋体"/>
                <w:lang w:eastAsia="zh-CN"/>
              </w:rPr>
              <w:t>科学合理、基本满足岗位要求并提供优质服务，项目人员具备少数医保系统运维项目经验得1</w:t>
            </w:r>
            <w:r>
              <w:rPr>
                <w:rFonts w:hint="eastAsia" w:ascii="宋体" w:hAnsi="宋体" w:cs="宋体"/>
                <w:lang w:val="en-US" w:eastAsia="zh-CN"/>
              </w:rPr>
              <w:t>5</w:t>
            </w:r>
            <w:r>
              <w:rPr>
                <w:rFonts w:hint="eastAsia" w:ascii="宋体" w:hAnsi="宋体" w:eastAsia="宋体" w:cs="宋体"/>
                <w:lang w:eastAsia="zh-CN"/>
              </w:rPr>
              <w:t>分；</w:t>
            </w:r>
          </w:p>
          <w:p>
            <w:pPr>
              <w:rPr>
                <w:rFonts w:hint="eastAsia" w:ascii="宋体" w:hAnsi="宋体" w:eastAsia="宋体" w:cs="宋体"/>
                <w:lang w:eastAsia="zh-CN"/>
              </w:rPr>
            </w:pPr>
            <w:r>
              <w:rPr>
                <w:rFonts w:hint="eastAsia" w:ascii="宋体" w:hAnsi="宋体" w:eastAsia="宋体" w:cs="宋体"/>
                <w:lang w:eastAsia="zh-CN"/>
              </w:rPr>
              <w:t>部分满足岗位要求，项目人员具有高级信息系统项目管理师资质证书得</w:t>
            </w:r>
            <w:r>
              <w:rPr>
                <w:rFonts w:hint="eastAsia" w:ascii="宋体" w:hAnsi="宋体" w:cs="宋体"/>
                <w:lang w:val="en-US" w:eastAsia="zh-CN"/>
              </w:rPr>
              <w:t>10</w:t>
            </w:r>
            <w:r>
              <w:rPr>
                <w:rFonts w:hint="eastAsia" w:ascii="宋体" w:hAnsi="宋体" w:eastAsia="宋体" w:cs="宋体"/>
                <w:lang w:eastAsia="zh-CN"/>
              </w:rPr>
              <w:t>分；</w:t>
            </w:r>
          </w:p>
          <w:p>
            <w:pPr>
              <w:rPr>
                <w:rFonts w:hint="eastAsia" w:ascii="宋体" w:hAnsi="宋体" w:eastAsia="宋体" w:cs="宋体"/>
                <w:lang w:eastAsia="en-US"/>
              </w:rPr>
            </w:pPr>
            <w:r>
              <w:rPr>
                <w:rFonts w:hint="eastAsia" w:ascii="宋体" w:hAnsi="宋体" w:eastAsia="宋体" w:cs="宋体"/>
                <w:lang w:eastAsia="en-US"/>
              </w:rPr>
              <w:t>未提供得0分。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1376" w:hRule="atLeast"/>
        </w:trPr>
        <w:tc>
          <w:tcPr>
            <w:tcW w:w="0" w:type="auto"/>
            <w:vMerge w:val="continue"/>
          </w:tcPr>
          <w:p>
            <w:pPr>
              <w:spacing w:after="160"/>
              <w:rPr>
                <w:rFonts w:hint="eastAsia" w:ascii="宋体" w:hAnsi="宋体" w:eastAsia="宋体" w:cs="宋体"/>
                <w:lang w:eastAsia="en-US"/>
              </w:rPr>
            </w:pPr>
          </w:p>
        </w:tc>
        <w:tc>
          <w:tcPr>
            <w:tcW w:w="0" w:type="auto"/>
            <w:vMerge w:val="continue"/>
          </w:tcPr>
          <w:p>
            <w:pPr>
              <w:spacing w:after="160"/>
              <w:rPr>
                <w:rFonts w:hint="eastAsia" w:ascii="宋体" w:hAnsi="宋体" w:eastAsia="宋体" w:cs="宋体"/>
                <w:lang w:eastAsia="en-US"/>
              </w:rPr>
            </w:pPr>
          </w:p>
        </w:tc>
        <w:tc>
          <w:tcPr>
            <w:tcW w:w="1854" w:type="dxa"/>
            <w:vAlign w:val="center"/>
          </w:tcPr>
          <w:p>
            <w:pPr>
              <w:rPr>
                <w:rFonts w:hint="eastAsia" w:ascii="宋体" w:hAnsi="宋体" w:eastAsia="宋体" w:cs="宋体"/>
                <w:lang w:eastAsia="zh-CN"/>
              </w:rPr>
            </w:pPr>
            <w:r>
              <w:rPr>
                <w:rFonts w:hint="eastAsia" w:ascii="宋体" w:hAnsi="宋体" w:eastAsia="宋体" w:cs="宋体"/>
                <w:lang w:eastAsia="zh-CN"/>
              </w:rPr>
              <w:t>对投标人服务方案和保障措施的评价（10 分）</w:t>
            </w:r>
          </w:p>
        </w:tc>
        <w:tc>
          <w:tcPr>
            <w:tcW w:w="5812" w:type="dxa"/>
          </w:tcPr>
          <w:p>
            <w:pPr>
              <w:rPr>
                <w:rFonts w:hint="eastAsia" w:ascii="宋体" w:hAnsi="宋体" w:eastAsia="宋体" w:cs="宋体"/>
                <w:lang w:eastAsia="zh-CN"/>
              </w:rPr>
            </w:pPr>
            <w:r>
              <w:rPr>
                <w:rFonts w:hint="eastAsia" w:ascii="宋体" w:hAnsi="宋体" w:eastAsia="宋体" w:cs="宋体"/>
                <w:lang w:eastAsia="zh-CN"/>
              </w:rPr>
              <w:t>投标人提供的服务方案和保障措施严密、针对性强、切实可行得10分；</w:t>
            </w:r>
          </w:p>
          <w:p>
            <w:pPr>
              <w:rPr>
                <w:rFonts w:hint="eastAsia" w:ascii="宋体" w:hAnsi="宋体" w:eastAsia="宋体" w:cs="宋体"/>
                <w:lang w:eastAsia="zh-CN"/>
              </w:rPr>
            </w:pPr>
            <w:r>
              <w:rPr>
                <w:rFonts w:hint="eastAsia" w:ascii="宋体" w:hAnsi="宋体" w:eastAsia="宋体" w:cs="宋体"/>
                <w:lang w:eastAsia="zh-CN"/>
              </w:rPr>
              <w:t>投标人提供的服务承诺和保障措施合理、基本可行得7分；</w:t>
            </w:r>
          </w:p>
          <w:p>
            <w:pPr>
              <w:rPr>
                <w:rFonts w:hint="eastAsia" w:ascii="宋体" w:hAnsi="宋体" w:eastAsia="宋体" w:cs="宋体"/>
                <w:lang w:eastAsia="zh-CN"/>
              </w:rPr>
            </w:pPr>
            <w:r>
              <w:rPr>
                <w:rFonts w:hint="eastAsia" w:ascii="宋体" w:hAnsi="宋体" w:eastAsia="宋体" w:cs="宋体"/>
                <w:lang w:eastAsia="zh-CN"/>
              </w:rPr>
              <w:t>投标人提供的服务承诺和保障措施基本合理、部分可行得4分；</w:t>
            </w:r>
          </w:p>
          <w:p>
            <w:pPr>
              <w:rPr>
                <w:rFonts w:hint="eastAsia" w:ascii="宋体" w:hAnsi="宋体" w:eastAsia="宋体" w:cs="宋体"/>
                <w:lang w:eastAsia="zh-CN"/>
              </w:rPr>
            </w:pPr>
            <w:r>
              <w:rPr>
                <w:rFonts w:hint="eastAsia" w:ascii="宋体" w:hAnsi="宋体" w:eastAsia="宋体" w:cs="宋体"/>
                <w:lang w:eastAsia="zh-CN"/>
              </w:rPr>
              <w:t>投标人提供的服务承诺和保障措施不合理、不可行得1分；</w:t>
            </w:r>
          </w:p>
          <w:p>
            <w:pPr>
              <w:rPr>
                <w:rFonts w:hint="eastAsia" w:ascii="宋体" w:hAnsi="宋体" w:eastAsia="宋体" w:cs="宋体"/>
                <w:lang w:eastAsia="en-US"/>
              </w:rPr>
            </w:pPr>
            <w:r>
              <w:rPr>
                <w:rFonts w:hint="eastAsia" w:ascii="宋体" w:hAnsi="宋体" w:eastAsia="宋体" w:cs="宋体"/>
                <w:lang w:eastAsia="en-US"/>
              </w:rPr>
              <w:t>未提供得0分。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31" w:type="dxa"/>
            <w:left w:w="108" w:type="dxa"/>
            <w:bottom w:w="0" w:type="dxa"/>
            <w:right w:w="2" w:type="dxa"/>
          </w:tblCellMar>
        </w:tblPrEx>
        <w:trPr>
          <w:trHeight w:val="324" w:hRule="atLeast"/>
        </w:trPr>
        <w:tc>
          <w:tcPr>
            <w:tcW w:w="0" w:type="auto"/>
            <w:vMerge w:val="continue"/>
          </w:tcPr>
          <w:p>
            <w:pPr>
              <w:spacing w:after="160"/>
              <w:rPr>
                <w:rFonts w:hint="eastAsia" w:ascii="宋体" w:hAnsi="宋体" w:eastAsia="宋体" w:cs="宋体"/>
                <w:lang w:eastAsia="en-US"/>
              </w:rPr>
            </w:pPr>
          </w:p>
        </w:tc>
        <w:tc>
          <w:tcPr>
            <w:tcW w:w="0" w:type="auto"/>
            <w:vMerge w:val="continue"/>
          </w:tcPr>
          <w:p>
            <w:pPr>
              <w:spacing w:after="160"/>
              <w:rPr>
                <w:rFonts w:hint="eastAsia" w:ascii="宋体" w:hAnsi="宋体" w:eastAsia="宋体" w:cs="宋体"/>
                <w:lang w:eastAsia="en-US"/>
              </w:rPr>
            </w:pPr>
          </w:p>
        </w:tc>
        <w:tc>
          <w:tcPr>
            <w:tcW w:w="1854" w:type="dxa"/>
            <w:vAlign w:val="center"/>
          </w:tcPr>
          <w:p>
            <w:pPr>
              <w:rPr>
                <w:rFonts w:hint="eastAsia" w:ascii="宋体" w:hAnsi="宋体" w:eastAsia="宋体" w:cs="宋体"/>
                <w:lang w:eastAsia="zh-CN"/>
              </w:rPr>
            </w:pPr>
            <w:r>
              <w:rPr>
                <w:rFonts w:hint="eastAsia" w:ascii="宋体" w:hAnsi="宋体" w:eastAsia="宋体" w:cs="宋体"/>
                <w:lang w:eastAsia="zh-CN"/>
              </w:rPr>
              <w:t>对投标人拟采取的应急预案的评价（10 分）</w:t>
            </w:r>
          </w:p>
        </w:tc>
        <w:tc>
          <w:tcPr>
            <w:tcW w:w="5812" w:type="dxa"/>
          </w:tcPr>
          <w:p>
            <w:pPr>
              <w:rPr>
                <w:rFonts w:hint="eastAsia" w:ascii="宋体" w:hAnsi="宋体" w:eastAsia="宋体" w:cs="宋体"/>
                <w:lang w:eastAsia="zh-CN"/>
              </w:rPr>
            </w:pPr>
            <w:r>
              <w:rPr>
                <w:rFonts w:hint="eastAsia" w:ascii="宋体" w:hAnsi="宋体" w:eastAsia="宋体" w:cs="宋体"/>
                <w:lang w:eastAsia="zh-CN"/>
              </w:rPr>
              <w:t>项目具有应急预案，且细致合理、针对性强，出现问题，能及时实施应对措施得10分；</w:t>
            </w:r>
          </w:p>
          <w:p>
            <w:pPr>
              <w:rPr>
                <w:rFonts w:hint="eastAsia" w:ascii="宋体" w:hAnsi="宋体" w:eastAsia="宋体" w:cs="宋体"/>
                <w:lang w:eastAsia="zh-CN"/>
              </w:rPr>
            </w:pPr>
            <w:r>
              <w:rPr>
                <w:rFonts w:hint="eastAsia" w:ascii="宋体" w:hAnsi="宋体" w:eastAsia="宋体" w:cs="宋体"/>
                <w:lang w:eastAsia="zh-CN"/>
              </w:rPr>
              <w:t>项目具有应急预案，针对性一般得7分；</w:t>
            </w:r>
          </w:p>
          <w:p>
            <w:pPr>
              <w:rPr>
                <w:rFonts w:hint="eastAsia" w:ascii="宋体" w:hAnsi="宋体" w:eastAsia="宋体" w:cs="宋体"/>
                <w:lang w:eastAsia="zh-CN"/>
              </w:rPr>
            </w:pPr>
            <w:r>
              <w:rPr>
                <w:rFonts w:hint="eastAsia" w:ascii="宋体" w:hAnsi="宋体" w:eastAsia="宋体" w:cs="宋体"/>
                <w:lang w:eastAsia="zh-CN"/>
              </w:rPr>
              <w:t>项目具有应急预案，相对简单、针对性弱得4分；</w:t>
            </w:r>
          </w:p>
          <w:p>
            <w:pPr>
              <w:rPr>
                <w:rFonts w:hint="eastAsia" w:ascii="宋体" w:hAnsi="宋体" w:eastAsia="宋体" w:cs="宋体"/>
                <w:lang w:eastAsia="zh-CN"/>
              </w:rPr>
            </w:pPr>
            <w:r>
              <w:rPr>
                <w:rFonts w:hint="eastAsia" w:ascii="宋体" w:hAnsi="宋体" w:eastAsia="宋体" w:cs="宋体"/>
                <w:lang w:eastAsia="zh-CN"/>
              </w:rPr>
              <w:t>项目具有应急预案，但简单且不具有针对性得1分；</w:t>
            </w:r>
          </w:p>
          <w:p>
            <w:pPr>
              <w:rPr>
                <w:rFonts w:hint="eastAsia" w:ascii="宋体" w:hAnsi="宋体" w:eastAsia="宋体" w:cs="宋体"/>
                <w:lang w:eastAsia="en-US"/>
              </w:rPr>
            </w:pPr>
            <w:r>
              <w:rPr>
                <w:rFonts w:hint="eastAsia" w:ascii="宋体" w:hAnsi="宋体" w:eastAsia="宋体" w:cs="宋体"/>
                <w:lang w:eastAsia="en-US"/>
              </w:rPr>
              <w:t>未提供得0分。</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DA960"/>
    <w:multiLevelType w:val="singleLevel"/>
    <w:tmpl w:val="BA1DA960"/>
    <w:lvl w:ilvl="0" w:tentative="0">
      <w:start w:val="1"/>
      <w:numFmt w:val="chineseCounting"/>
      <w:suff w:val="nothing"/>
      <w:lvlText w:val="%1、"/>
      <w:lvlJc w:val="left"/>
      <w:rPr>
        <w:rFonts w:hint="eastAsia"/>
      </w:rPr>
    </w:lvl>
  </w:abstractNum>
  <w:abstractNum w:abstractNumId="1">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2">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067F32"/>
    <w:rsid w:val="000D6484"/>
    <w:rsid w:val="000E4F7F"/>
    <w:rsid w:val="00156931"/>
    <w:rsid w:val="00175E4F"/>
    <w:rsid w:val="002F3152"/>
    <w:rsid w:val="00345966"/>
    <w:rsid w:val="00463668"/>
    <w:rsid w:val="00490BB4"/>
    <w:rsid w:val="004F30E2"/>
    <w:rsid w:val="0061225C"/>
    <w:rsid w:val="006A79B5"/>
    <w:rsid w:val="006D778F"/>
    <w:rsid w:val="0084001B"/>
    <w:rsid w:val="009069C9"/>
    <w:rsid w:val="00975AA1"/>
    <w:rsid w:val="00975E9C"/>
    <w:rsid w:val="00A131DE"/>
    <w:rsid w:val="00C536E3"/>
    <w:rsid w:val="00D225A3"/>
    <w:rsid w:val="00F022A9"/>
    <w:rsid w:val="00F5685B"/>
    <w:rsid w:val="04B94FD8"/>
    <w:rsid w:val="06CE5CA7"/>
    <w:rsid w:val="087B39E8"/>
    <w:rsid w:val="0E1F17A0"/>
    <w:rsid w:val="106A58B6"/>
    <w:rsid w:val="194C18CF"/>
    <w:rsid w:val="1DD25D93"/>
    <w:rsid w:val="217C6B87"/>
    <w:rsid w:val="218439FB"/>
    <w:rsid w:val="231A61AF"/>
    <w:rsid w:val="2CBC5291"/>
    <w:rsid w:val="36783969"/>
    <w:rsid w:val="38316CA8"/>
    <w:rsid w:val="3D4A346B"/>
    <w:rsid w:val="42C64707"/>
    <w:rsid w:val="42C91868"/>
    <w:rsid w:val="44444E8A"/>
    <w:rsid w:val="493F0316"/>
    <w:rsid w:val="4A673806"/>
    <w:rsid w:val="4D7A37A4"/>
    <w:rsid w:val="55AE4FFD"/>
    <w:rsid w:val="58196B96"/>
    <w:rsid w:val="5C6E4D42"/>
    <w:rsid w:val="5F7A4DB3"/>
    <w:rsid w:val="611E2EDC"/>
    <w:rsid w:val="61D45648"/>
    <w:rsid w:val="6B571220"/>
    <w:rsid w:val="6DBC462A"/>
    <w:rsid w:val="6DD662A4"/>
    <w:rsid w:val="6E47622F"/>
    <w:rsid w:val="6F4E6291"/>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cs="宋体"/>
      <w:b/>
      <w:kern w:val="44"/>
      <w:sz w:val="36"/>
      <w:szCs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Body Text Indent 2"/>
    <w:basedOn w:val="1"/>
    <w:link w:val="29"/>
    <w:qFormat/>
    <w:uiPriority w:val="0"/>
    <w:pPr>
      <w:spacing w:after="120" w:line="480" w:lineRule="auto"/>
      <w:ind w:left="420" w:leftChars="200"/>
    </w:pPr>
    <w:rPr>
      <w:rFonts w:eastAsiaTheme="minorEastAsia"/>
      <w:szCs w:val="24"/>
    </w:rPr>
  </w:style>
  <w:style w:type="paragraph" w:styleId="17">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28"/>
    <w:qFormat/>
    <w:uiPriority w:val="0"/>
    <w:pPr>
      <w:tabs>
        <w:tab w:val="center" w:pos="4153"/>
        <w:tab w:val="right" w:pos="8306"/>
      </w:tabs>
      <w:snapToGrid w:val="0"/>
      <w:spacing w:line="240" w:lineRule="auto"/>
      <w:jc w:val="center"/>
    </w:pPr>
    <w:rPr>
      <w:sz w:val="18"/>
      <w:szCs w:val="18"/>
    </w:rPr>
  </w:style>
  <w:style w:type="paragraph" w:styleId="19">
    <w:name w:val="Normal (Web)"/>
    <w:basedOn w:val="1"/>
    <w:qFormat/>
    <w:uiPriority w:val="0"/>
    <w:pPr>
      <w:spacing w:beforeAutospacing="1" w:afterAutospacing="1" w:line="240" w:lineRule="auto"/>
      <w:jc w:val="left"/>
    </w:pPr>
    <w:rPr>
      <w:rFonts w:eastAsiaTheme="minorEastAsia"/>
      <w:kern w:val="0"/>
      <w:sz w:val="24"/>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No Spacing"/>
    <w:basedOn w:val="1"/>
    <w:qFormat/>
    <w:uiPriority w:val="0"/>
    <w:pPr>
      <w:spacing w:line="240" w:lineRule="auto"/>
      <w:jc w:val="center"/>
    </w:pPr>
    <w:rPr>
      <w:rFonts w:ascii="Times New Roman" w:hAnsi="Times New Roman" w:cs="Times New Roman"/>
      <w:szCs w:val="32"/>
    </w:rPr>
  </w:style>
  <w:style w:type="paragraph" w:customStyle="1" w:styleId="24">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5">
    <w:name w:val="font21"/>
    <w:basedOn w:val="22"/>
    <w:qFormat/>
    <w:uiPriority w:val="0"/>
    <w:rPr>
      <w:rFonts w:hint="default" w:ascii="Calibri" w:hAnsi="Calibri" w:cs="Calibri"/>
      <w:color w:val="000000"/>
      <w:sz w:val="21"/>
      <w:szCs w:val="21"/>
      <w:u w:val="none"/>
    </w:rPr>
  </w:style>
  <w:style w:type="character" w:customStyle="1" w:styleId="26">
    <w:name w:val="font11"/>
    <w:basedOn w:val="22"/>
    <w:qFormat/>
    <w:uiPriority w:val="0"/>
    <w:rPr>
      <w:rFonts w:hint="eastAsia" w:ascii="宋体" w:hAnsi="宋体" w:eastAsia="宋体" w:cs="宋体"/>
      <w:color w:val="000000"/>
      <w:sz w:val="21"/>
      <w:szCs w:val="21"/>
      <w:u w:val="none"/>
    </w:rPr>
  </w:style>
  <w:style w:type="character" w:customStyle="1" w:styleId="27">
    <w:name w:val="font51"/>
    <w:basedOn w:val="22"/>
    <w:qFormat/>
    <w:uiPriority w:val="0"/>
    <w:rPr>
      <w:rFonts w:hint="eastAsia" w:ascii="宋体" w:hAnsi="宋体" w:eastAsia="宋体" w:cs="宋体"/>
      <w:color w:val="000000"/>
      <w:sz w:val="20"/>
      <w:szCs w:val="20"/>
      <w:u w:val="none"/>
    </w:rPr>
  </w:style>
  <w:style w:type="character" w:customStyle="1" w:styleId="28">
    <w:name w:val="页眉 字符"/>
    <w:basedOn w:val="22"/>
    <w:link w:val="18"/>
    <w:qFormat/>
    <w:uiPriority w:val="0"/>
    <w:rPr>
      <w:rFonts w:asciiTheme="minorHAnsi" w:hAnsiTheme="minorHAnsi" w:cstheme="minorBidi"/>
      <w:kern w:val="2"/>
      <w:sz w:val="18"/>
      <w:szCs w:val="18"/>
    </w:rPr>
  </w:style>
  <w:style w:type="character" w:customStyle="1" w:styleId="29">
    <w:name w:val="正文文本缩进 2 字符"/>
    <w:basedOn w:val="22"/>
    <w:link w:val="16"/>
    <w:qFormat/>
    <w:uiPriority w:val="0"/>
    <w:rPr>
      <w:rFonts w:asciiTheme="minorHAnsi" w:hAnsiTheme="minorHAnsi" w:eastAsiaTheme="minorEastAsia" w:cstheme="minorBidi"/>
      <w:kern w:val="2"/>
      <w:sz w:val="21"/>
      <w:szCs w:val="24"/>
    </w:rPr>
  </w:style>
  <w:style w:type="table" w:customStyle="1" w:styleId="30">
    <w:name w:val="TableGrid"/>
    <w:qFormat/>
    <w:uiPriority w:val="0"/>
    <w:rPr>
      <w:rFonts w:asciiTheme="minorHAnsi" w:hAnsiTheme="minorHAnsi" w:eastAsiaTheme="minorEastAsia" w:cstheme="minorBidi"/>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E08E-E7F4-4D7D-9A7F-80591DF39542}">
  <ds:schemaRefs/>
</ds:datastoreItem>
</file>

<file path=docProps/app.xml><?xml version="1.0" encoding="utf-8"?>
<Properties xmlns="http://schemas.openxmlformats.org/officeDocument/2006/extended-properties" xmlns:vt="http://schemas.openxmlformats.org/officeDocument/2006/docPropsVTypes">
  <Template>Normal</Template>
  <Pages>5</Pages>
  <Words>1132</Words>
  <Characters>6456</Characters>
  <Lines>53</Lines>
  <Paragraphs>15</Paragraphs>
  <TotalTime>1624</TotalTime>
  <ScaleCrop>false</ScaleCrop>
  <LinksUpToDate>false</LinksUpToDate>
  <CharactersWithSpaces>7573</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2025-09-09T04:41:25Z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B3791D336D924251AA290F9CD9088563</vt:lpwstr>
  </property>
  <property fmtid="{D5CDD505-2E9C-101B-9397-08002B2CF9AE}" pid="4" name="KSOTemplateDocerSaveRecord">
    <vt:lpwstr>eyJoZGlkIjoiMGJhYzMyMDlhZTg1YWZkY2ZiMTIzMTQ3OGY3NzU0ZmEiLCJ1c2VySWQiOiI2MTA2MDY2MTAifQ==</vt:lpwstr>
  </property>
</Properties>
</file>