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pStyle w:val="3"/>
        <w:numPr>
          <w:ilvl w:val="0"/>
          <w:numId w:val="0"/>
        </w:numPr>
        <w:bidi w:val="0"/>
        <w:ind w:leftChars="0"/>
        <w:jc w:val="center"/>
        <w:rPr>
          <w:rFonts w:hint="default" w:eastAsia="宋体"/>
          <w:sz w:val="32"/>
          <w:szCs w:val="32"/>
          <w:lang w:val="en-US" w:eastAsia="zh-CN"/>
        </w:rPr>
      </w:pPr>
      <w:r>
        <w:rPr>
          <w:rFonts w:hint="eastAsia"/>
          <w:sz w:val="32"/>
          <w:szCs w:val="32"/>
          <w:lang w:val="en-US" w:eastAsia="zh-CN"/>
        </w:rPr>
        <w:t>北京市垂杨柳医院算力租用服务项目比选方案</w:t>
      </w:r>
    </w:p>
    <w:p>
      <w:pPr>
        <w:pStyle w:val="3"/>
        <w:bidi w:val="0"/>
        <w:ind w:left="0" w:leftChars="0" w:firstLine="0" w:firstLineChars="0"/>
      </w:pPr>
      <w:r>
        <w:rPr>
          <w:rFonts w:hint="eastAsia"/>
          <w:lang w:val="en-US" w:eastAsia="zh-CN"/>
        </w:rPr>
        <w:t>项目概述</w:t>
      </w:r>
    </w:p>
    <w:p>
      <w:pPr>
        <w:ind w:left="0" w:leftChars="0" w:firstLine="420" w:firstLineChars="200"/>
        <w:rPr>
          <w:rFonts w:hint="eastAsia" w:eastAsia="宋体"/>
          <w:lang w:eastAsia="zh-CN"/>
        </w:rPr>
      </w:pPr>
      <w:r>
        <w:rPr>
          <w:rFonts w:hint="eastAsia"/>
          <w:shd w:val="clear" w:color="auto" w:fill="FFFFFF"/>
          <w:lang w:val="en-US" w:eastAsia="zh-CN"/>
        </w:rPr>
        <w:t>为满足院内医生可以快速便捷地调用模型能力，有助于医生提高日常办公效率，满足医疗知识问答、论文撰写等需求，本项目租用算力服务部署DeepSeek，进一步明确大模型在医疗领域中的潜在应用场景。</w:t>
      </w:r>
    </w:p>
    <w:p>
      <w:pPr>
        <w:pStyle w:val="3"/>
        <w:bidi w:val="0"/>
        <w:ind w:left="0" w:leftChars="0" w:firstLine="0" w:firstLineChars="0"/>
      </w:pPr>
      <w:r>
        <w:rPr>
          <w:rFonts w:hint="eastAsia"/>
          <w:lang w:val="en-US" w:eastAsia="zh-CN"/>
        </w:rPr>
        <w:t>项目</w:t>
      </w:r>
      <w:r>
        <w:rPr>
          <w:rFonts w:hint="eastAsia"/>
        </w:rPr>
        <w:t>内容</w:t>
      </w:r>
    </w:p>
    <w:tbl>
      <w:tblPr>
        <w:tblStyle w:val="17"/>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24"/>
        <w:gridCol w:w="1173"/>
        <w:gridCol w:w="4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720" w:type="dxa"/>
            <w:vAlign w:val="center"/>
          </w:tcPr>
          <w:p>
            <w:pPr>
              <w:bidi w:val="0"/>
            </w:pPr>
            <w:r>
              <w:rPr>
                <w:rFonts w:hint="eastAsia"/>
              </w:rPr>
              <w:t>序号</w:t>
            </w:r>
          </w:p>
        </w:tc>
        <w:tc>
          <w:tcPr>
            <w:tcW w:w="2524" w:type="dxa"/>
            <w:vAlign w:val="center"/>
          </w:tcPr>
          <w:p>
            <w:pPr>
              <w:bidi w:val="0"/>
              <w:jc w:val="center"/>
            </w:pPr>
            <w:r>
              <w:rPr>
                <w:rFonts w:hint="eastAsia"/>
              </w:rPr>
              <w:t>名称</w:t>
            </w:r>
          </w:p>
        </w:tc>
        <w:tc>
          <w:tcPr>
            <w:tcW w:w="1173" w:type="dxa"/>
            <w:vAlign w:val="center"/>
          </w:tcPr>
          <w:p>
            <w:pPr>
              <w:bidi w:val="0"/>
              <w:jc w:val="center"/>
            </w:pPr>
            <w:r>
              <w:rPr>
                <w:rFonts w:hint="eastAsia"/>
              </w:rPr>
              <w:t>数量</w:t>
            </w:r>
          </w:p>
        </w:tc>
        <w:tc>
          <w:tcPr>
            <w:tcW w:w="4225" w:type="dxa"/>
            <w:vAlign w:val="center"/>
          </w:tcPr>
          <w:p>
            <w:pPr>
              <w:bidi w:val="0"/>
              <w:jc w:val="center"/>
              <w:rPr>
                <w:rFonts w:hint="default" w:eastAsia="宋体"/>
                <w:lang w:val="en-US" w:eastAsia="zh-CN"/>
              </w:rPr>
            </w:pPr>
            <w:r>
              <w:rPr>
                <w:rFonts w:hint="eastAsia"/>
              </w:rPr>
              <w:t>交货期</w:t>
            </w:r>
            <w:r>
              <w:rPr>
                <w:rFonts w:hint="eastAsia"/>
                <w:lang w:val="en-US" w:eastAsia="zh-CN"/>
              </w:rPr>
              <w:t>/建设期/维保期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720" w:type="dxa"/>
            <w:vAlign w:val="center"/>
          </w:tcPr>
          <w:p>
            <w:pPr>
              <w:numPr>
                <w:ilvl w:val="0"/>
                <w:numId w:val="2"/>
              </w:numPr>
              <w:bidi w:val="0"/>
              <w:ind w:left="0" w:leftChars="0" w:firstLine="0" w:firstLineChars="0"/>
              <w:jc w:val="center"/>
            </w:pPr>
          </w:p>
        </w:tc>
        <w:tc>
          <w:tcPr>
            <w:tcW w:w="2524" w:type="dxa"/>
            <w:vAlign w:val="center"/>
          </w:tcPr>
          <w:p>
            <w:pPr>
              <w:bidi w:val="0"/>
              <w:jc w:val="center"/>
              <w:rPr>
                <w:rFonts w:hint="default"/>
                <w:lang w:val="en-US"/>
              </w:rPr>
            </w:pPr>
            <w:r>
              <w:rPr>
                <w:rFonts w:hint="eastAsia"/>
                <w:lang w:val="en-US" w:eastAsia="zh-CN"/>
              </w:rPr>
              <w:t>算力服务器</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default" w:eastAsia="宋体"/>
                <w:lang w:val="en-US" w:eastAsia="zh-CN"/>
              </w:rPr>
            </w:pPr>
            <w:r>
              <w:rPr>
                <w:rFonts w:hint="eastAsia"/>
                <w:lang w:val="en-US" w:eastAsia="zh-CN"/>
              </w:rPr>
              <w:t>2</w:t>
            </w:r>
          </w:p>
        </w:tc>
        <w:tc>
          <w:tcPr>
            <w:tcW w:w="4225" w:type="dxa"/>
            <w:vAlign w:val="center"/>
          </w:tcPr>
          <w:p>
            <w:pPr>
              <w:bidi w:val="0"/>
              <w:jc w:val="center"/>
            </w:pPr>
            <w:r>
              <w:rPr>
                <w:rFonts w:hint="eastAsia"/>
              </w:rPr>
              <w:t>合同签定后</w:t>
            </w:r>
            <w:r>
              <w:rPr>
                <w:rFonts w:hint="eastAsia"/>
                <w:lang w:val="en-US" w:eastAsia="zh-CN"/>
              </w:rPr>
              <w:t>2</w:t>
            </w:r>
            <w:r>
              <w:rPr>
                <w:rFonts w:hint="eastAsia"/>
              </w:rPr>
              <w:t>个月内</w:t>
            </w:r>
          </w:p>
        </w:tc>
      </w:tr>
    </w:tbl>
    <w:p>
      <w:pPr>
        <w:pStyle w:val="3"/>
        <w:bidi w:val="0"/>
        <w:ind w:left="0" w:leftChars="0" w:firstLine="0" w:firstLineChars="0"/>
      </w:pPr>
      <w:r>
        <w:rPr>
          <w:rFonts w:hint="eastAsia"/>
        </w:rPr>
        <w:t>技术要求</w:t>
      </w:r>
    </w:p>
    <w:p>
      <w:pPr>
        <w:ind w:firstLine="480"/>
        <w:rPr>
          <w:rFonts w:hint="eastAsia" w:eastAsia="宋体"/>
          <w:lang w:val="en-US" w:eastAsia="zh-CN"/>
        </w:rPr>
      </w:pPr>
      <w:r>
        <w:rPr>
          <w:rFonts w:hint="eastAsia" w:eastAsia="宋体"/>
          <w:lang w:val="en-US" w:eastAsia="zh-CN"/>
        </w:rPr>
        <w:t>本项目算力服务器需满足以下指标需求，保障算力资源不低于以下能力：</w:t>
      </w:r>
    </w:p>
    <w:p>
      <w:pPr>
        <w:ind w:firstLine="480"/>
        <w:rPr>
          <w:rFonts w:hint="eastAsia" w:eastAsia="宋体"/>
          <w:lang w:val="en-US" w:eastAsia="zh-CN"/>
        </w:rPr>
      </w:pPr>
      <w:r>
        <w:rPr>
          <w:rFonts w:hint="eastAsia" w:eastAsia="宋体"/>
          <w:lang w:val="en-US" w:eastAsia="zh-CN"/>
        </w:rPr>
        <w:t>（1）CPU：单机提供不少于4个CPU处理器，每颗处理器核心数不低于 48 核，主频不低于 2.6GHz。</w:t>
      </w:r>
    </w:p>
    <w:p>
      <w:pPr>
        <w:ind w:firstLine="480"/>
        <w:rPr>
          <w:rFonts w:hint="eastAsia" w:eastAsia="宋体"/>
          <w:lang w:val="en-US" w:eastAsia="zh-CN"/>
        </w:rPr>
      </w:pPr>
      <w:r>
        <w:rPr>
          <w:rFonts w:hint="eastAsia" w:eastAsia="宋体"/>
          <w:lang w:val="en-US" w:eastAsia="zh-CN"/>
        </w:rPr>
        <w:t>（2）NPU：单机提供不低于8卡GPU 加速卡，单机FP16算力不低于2PFLOPS；集群整体FP16算力不低于4PFLOPS。</w:t>
      </w:r>
    </w:p>
    <w:p>
      <w:pPr>
        <w:ind w:firstLine="480"/>
        <w:rPr>
          <w:rFonts w:hint="eastAsia" w:eastAsia="宋体"/>
          <w:lang w:val="en-US" w:eastAsia="zh-CN"/>
        </w:rPr>
      </w:pPr>
      <w:r>
        <w:rPr>
          <w:rFonts w:hint="eastAsia" w:eastAsia="宋体"/>
          <w:lang w:val="en-US" w:eastAsia="zh-CN"/>
        </w:rPr>
        <w:t>（3）硬盘：单机配置不低于 2 块 SATA 接口固态硬盘，单块容量不低于 480GB；配置不低于 2 块 NVMe 接口固态硬盘，单块容量不低于 3.84TB。</w:t>
      </w:r>
    </w:p>
    <w:p>
      <w:pPr>
        <w:ind w:firstLine="480"/>
        <w:rPr>
          <w:rFonts w:hint="eastAsia" w:eastAsia="宋体"/>
          <w:lang w:val="en-US" w:eastAsia="zh-CN"/>
        </w:rPr>
      </w:pPr>
      <w:r>
        <w:rPr>
          <w:rFonts w:hint="eastAsia" w:eastAsia="宋体"/>
          <w:lang w:val="en-US" w:eastAsia="zh-CN"/>
        </w:rPr>
        <w:t>且，算力整体服务支撑周期12个月，以保障服务正常运转。</w:t>
      </w:r>
    </w:p>
    <w:p>
      <w:pPr>
        <w:rPr>
          <w:rFonts w:hint="eastAsia"/>
          <w:lang w:eastAsia="zh-CN"/>
        </w:rPr>
      </w:pPr>
    </w:p>
    <w:p>
      <w:pPr>
        <w:ind w:firstLine="480"/>
        <w:rPr>
          <w:rFonts w:hint="eastAsia"/>
          <w:lang w:eastAsia="zh-CN"/>
        </w:rPr>
      </w:pPr>
    </w:p>
    <w:tbl>
      <w:tblPr>
        <w:tblStyle w:val="17"/>
        <w:tblW w:w="505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8"/>
        <w:gridCol w:w="872"/>
        <w:gridCol w:w="933"/>
        <w:gridCol w:w="6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系统模块</w:t>
            </w:r>
          </w:p>
        </w:tc>
        <w:tc>
          <w:tcPr>
            <w:tcW w:w="42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功能要求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2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06" w:type="pct"/>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算力服务器</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CPU</w:t>
            </w:r>
          </w:p>
        </w:tc>
        <w:tc>
          <w:tcPr>
            <w:tcW w:w="36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单机提供不少于4个CPU处理器，每颗处理器核心数不低于 48 核，主频不低于 2.6GHz。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5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NPU</w:t>
            </w:r>
          </w:p>
        </w:tc>
        <w:tc>
          <w:tcPr>
            <w:tcW w:w="3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rPr>
            </w:pPr>
            <w:r>
              <w:rPr>
                <w:rFonts w:hint="default" w:asciiTheme="minorEastAsia" w:hAnsiTheme="minorEastAsia" w:eastAsiaTheme="minorEastAsia" w:cstheme="minorEastAsia"/>
                <w:i w:val="0"/>
                <w:iCs w:val="0"/>
                <w:color w:val="000000"/>
                <w:sz w:val="24"/>
                <w:szCs w:val="24"/>
                <w:u w:val="none"/>
                <w:lang w:val="en-US"/>
              </w:rPr>
              <w:t>单机提供不低于8卡GPU 加速卡，单机FP16算力不低于2PFLOPS；集群整体FP16算力不低于4PFLOPS。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8" w:hRule="atLeast"/>
        </w:trPr>
        <w:tc>
          <w:tcPr>
            <w:tcW w:w="2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506" w:type="pct"/>
            <w:vMerge w:val="continue"/>
            <w:tcBorders>
              <w:left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rPr>
            </w:pPr>
            <w:r>
              <w:rPr>
                <w:rFonts w:hint="default" w:asciiTheme="minorEastAsia" w:hAnsiTheme="minorEastAsia" w:eastAsiaTheme="minorEastAsia" w:cstheme="minorEastAsia"/>
                <w:i w:val="0"/>
                <w:iCs w:val="0"/>
                <w:color w:val="000000"/>
                <w:sz w:val="24"/>
                <w:szCs w:val="24"/>
                <w:u w:val="none"/>
                <w:lang w:val="en-US"/>
              </w:rPr>
              <w:t>硬盘</w:t>
            </w:r>
          </w:p>
        </w:tc>
        <w:tc>
          <w:tcPr>
            <w:tcW w:w="36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heme="minorEastAsia" w:hAnsiTheme="minorEastAsia" w:eastAsiaTheme="minorEastAsia" w:cstheme="minorEastAsia"/>
                <w:i w:val="0"/>
                <w:iCs w:val="0"/>
                <w:color w:val="000000"/>
                <w:sz w:val="24"/>
                <w:szCs w:val="24"/>
                <w:u w:val="none"/>
                <w:lang w:val="en-US"/>
              </w:rPr>
            </w:pPr>
            <w:r>
              <w:rPr>
                <w:rFonts w:hint="default" w:asciiTheme="minorEastAsia" w:hAnsiTheme="minorEastAsia" w:eastAsiaTheme="minorEastAsia" w:cstheme="minorEastAsia"/>
                <w:i w:val="0"/>
                <w:iCs w:val="0"/>
                <w:color w:val="000000"/>
                <w:sz w:val="24"/>
                <w:szCs w:val="24"/>
                <w:u w:val="none"/>
                <w:lang w:val="en-US"/>
              </w:rPr>
              <w:t>单机配置不低于 2 块 SATA 接口固态硬盘，单块容量不低于 480GB；配置不低于 2 块 NVMe 接口固态硬盘，单块容量不低于 3.84TB。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2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506" w:type="pct"/>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售后服务</w:t>
            </w:r>
          </w:p>
        </w:tc>
        <w:tc>
          <w:tcPr>
            <w:tcW w:w="36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heme="minorEastAsia" w:hAnsiTheme="minorEastAsia" w:eastAsiaTheme="minorEastAsia" w:cstheme="minorEastAsia"/>
                <w:i w:val="0"/>
                <w:iCs w:val="0"/>
                <w:color w:val="000000"/>
                <w:sz w:val="24"/>
                <w:szCs w:val="24"/>
                <w:u w:val="none"/>
                <w:lang w:val="en-US"/>
              </w:rPr>
            </w:pPr>
            <w:r>
              <w:rPr>
                <w:rFonts w:hint="default" w:asciiTheme="minorEastAsia" w:hAnsiTheme="minorEastAsia" w:eastAsiaTheme="minorEastAsia" w:cstheme="minorEastAsia"/>
                <w:i w:val="0"/>
                <w:iCs w:val="0"/>
                <w:color w:val="000000"/>
                <w:sz w:val="24"/>
                <w:szCs w:val="24"/>
                <w:u w:val="none"/>
                <w:lang w:val="en-US"/>
              </w:rPr>
              <w:t>服务支撑周期12个月</w:t>
            </w:r>
          </w:p>
        </w:tc>
      </w:tr>
    </w:tbl>
    <w:p>
      <w:pPr>
        <w:rPr>
          <w:rFonts w:hint="eastAsia"/>
          <w:lang w:val="en-US" w:eastAsia="zh-CN"/>
        </w:rPr>
      </w:pPr>
    </w:p>
    <w:p>
      <w:pPr>
        <w:pStyle w:val="3"/>
        <w:bidi w:val="0"/>
        <w:ind w:left="0" w:leftChars="0" w:firstLine="0" w:firstLineChars="0"/>
      </w:pPr>
      <w:r>
        <w:rPr>
          <w:rFonts w:hint="eastAsia"/>
          <w:lang w:val="en-US" w:eastAsia="zh-CN"/>
        </w:rPr>
        <w:t>商务条款</w:t>
      </w:r>
    </w:p>
    <w:p>
      <w:pPr>
        <w:numPr>
          <w:ilvl w:val="0"/>
          <w:numId w:val="3"/>
        </w:numPr>
        <w:bidi w:val="0"/>
        <w:rPr>
          <w:rFonts w:hint="default"/>
          <w:lang w:val="en-US" w:eastAsia="zh-CN"/>
        </w:rPr>
      </w:pPr>
      <w:r>
        <w:rPr>
          <w:rFonts w:hint="eastAsia"/>
          <w:lang w:val="en-US" w:eastAsia="zh-CN"/>
        </w:rPr>
        <w:t>报价</w:t>
      </w:r>
      <w:r>
        <w:rPr>
          <w:rFonts w:hint="eastAsia"/>
        </w:rPr>
        <w:t>人负责项目</w:t>
      </w:r>
      <w:r>
        <w:rPr>
          <w:rFonts w:hint="eastAsia"/>
          <w:lang w:val="en-US" w:eastAsia="zh-CN"/>
        </w:rPr>
        <w:t>算力资源的</w:t>
      </w:r>
      <w:r>
        <w:rPr>
          <w:rFonts w:hint="eastAsia"/>
        </w:rPr>
        <w:t>调试及上线，招标单位予以配合。</w:t>
      </w:r>
    </w:p>
    <w:p>
      <w:pPr>
        <w:numPr>
          <w:ilvl w:val="0"/>
          <w:numId w:val="3"/>
        </w:numPr>
        <w:bidi w:val="0"/>
      </w:pPr>
      <w:r>
        <w:rPr>
          <w:rFonts w:hint="eastAsia"/>
          <w:lang w:val="en-US" w:eastAsia="zh-CN"/>
        </w:rPr>
        <w:t>报价</w:t>
      </w:r>
      <w:r>
        <w:rPr>
          <w:rFonts w:hint="eastAsia" w:eastAsia="宋体"/>
        </w:rPr>
        <w:t>人负责</w:t>
      </w:r>
      <w:r>
        <w:rPr>
          <w:rFonts w:hint="eastAsia"/>
          <w:lang w:val="en-US" w:eastAsia="zh-CN"/>
        </w:rPr>
        <w:t>协助配合院内大模型的部署</w:t>
      </w:r>
      <w:r>
        <w:rPr>
          <w:rFonts w:hint="eastAsia" w:eastAsia="宋体"/>
          <w:lang w:eastAsia="zh-CN"/>
        </w:rPr>
        <w:t>。</w:t>
      </w:r>
    </w:p>
    <w:p>
      <w:pPr>
        <w:numPr>
          <w:ilvl w:val="0"/>
          <w:numId w:val="3"/>
        </w:numPr>
        <w:bidi w:val="0"/>
      </w:pPr>
      <w:r>
        <w:rPr>
          <w:rFonts w:hint="eastAsia"/>
          <w:lang w:val="en-US" w:eastAsia="zh-CN"/>
        </w:rPr>
        <w:t>报价</w:t>
      </w:r>
      <w:r>
        <w:rPr>
          <w:rFonts w:hint="eastAsia"/>
        </w:rPr>
        <w:t>人有良好的售后服务能力，需提供全年7天24小时服务（电话、远程或现场），</w:t>
      </w:r>
      <w:r>
        <w:rPr>
          <w:rFonts w:hint="eastAsia"/>
          <w:b w:val="0"/>
          <w:bCs w:val="0"/>
          <w:lang w:val="en-US" w:eastAsia="zh-CN"/>
        </w:rPr>
        <w:t>需提供全面、主动的技术保障支撑服务，确保算力资源的稳定性、高可用性和性能</w:t>
      </w:r>
      <w:r>
        <w:rPr>
          <w:rFonts w:hint="eastAsia"/>
        </w:rPr>
        <w:t>。</w:t>
      </w:r>
    </w:p>
    <w:p>
      <w:pPr>
        <w:numPr>
          <w:ilvl w:val="0"/>
          <w:numId w:val="3"/>
        </w:numPr>
        <w:bidi w:val="0"/>
        <w:rPr>
          <w:rFonts w:hint="default"/>
          <w:lang w:val="en-US" w:eastAsia="zh-CN"/>
        </w:rPr>
      </w:pPr>
      <w:r>
        <w:rPr>
          <w:rFonts w:hint="eastAsia"/>
          <w:lang w:val="en-US" w:eastAsia="zh-CN"/>
        </w:rPr>
        <w:t>报价人需保证我院在算力服务器的数据安全，</w:t>
      </w:r>
      <w:r>
        <w:rPr>
          <w:rFonts w:hint="eastAsia" w:eastAsia="宋体" w:asciiTheme="minorAscii" w:hAnsiTheme="minorAscii" w:cstheme="minorBidi"/>
          <w:lang w:val="en-US" w:eastAsia="zh-CN"/>
        </w:rPr>
        <w:t>确保只有授权人员能够访问客户数据</w:t>
      </w:r>
      <w:r>
        <w:rPr>
          <w:rFonts w:hint="eastAsia"/>
        </w:rPr>
        <w:t>。</w:t>
      </w:r>
    </w:p>
    <w:p>
      <w:pPr>
        <w:pStyle w:val="3"/>
        <w:bidi w:val="0"/>
        <w:ind w:left="0" w:leftChars="0" w:firstLine="0" w:firstLineChars="0"/>
      </w:pPr>
      <w:r>
        <w:rPr>
          <w:rFonts w:hint="eastAsia"/>
        </w:rPr>
        <w:t>评分标准</w:t>
      </w:r>
    </w:p>
    <w:p>
      <w:pPr>
        <w:pStyle w:val="4"/>
        <w:bidi w:val="0"/>
        <w:rPr>
          <w:rFonts w:hint="eastAsia"/>
        </w:rPr>
      </w:pPr>
      <w:r>
        <w:rPr>
          <w:rFonts w:hint="eastAsia"/>
        </w:rPr>
        <w:t>评标方法</w:t>
      </w:r>
    </w:p>
    <w:p>
      <w:pPr>
        <w:ind w:firstLine="480"/>
      </w:pPr>
      <w:r>
        <w:rPr>
          <w:rFonts w:hint="eastAsia"/>
        </w:rPr>
        <w:t>本次评标采用综合评分法，</w:t>
      </w:r>
      <w:r>
        <w:rPr>
          <w:rFonts w:hint="eastAsia"/>
          <w:lang w:val="en-US" w:eastAsia="zh-CN"/>
        </w:rPr>
        <w:t>报价</w:t>
      </w:r>
      <w:r>
        <w:rPr>
          <w:rFonts w:hint="eastAsia"/>
        </w:rPr>
        <w:t>文件满足招标文件全部实质性要求且按照评审因素的量化指标评审得分最高的</w:t>
      </w:r>
      <w:r>
        <w:rPr>
          <w:rFonts w:hint="eastAsia"/>
          <w:lang w:val="en-US" w:eastAsia="zh-CN"/>
        </w:rPr>
        <w:t>报价</w:t>
      </w:r>
      <w:r>
        <w:rPr>
          <w:rFonts w:hint="eastAsia"/>
          <w:lang w:eastAsia="zh-CN"/>
        </w:rPr>
        <w:t>人</w:t>
      </w:r>
      <w:r>
        <w:rPr>
          <w:rFonts w:hint="eastAsia"/>
        </w:rPr>
        <w:t>为中标候选人。</w:t>
      </w:r>
    </w:p>
    <w:p>
      <w:pPr>
        <w:pStyle w:val="4"/>
        <w:bidi w:val="0"/>
        <w:rPr>
          <w:rFonts w:hint="eastAsia"/>
        </w:rPr>
      </w:pPr>
      <w:r>
        <w:rPr>
          <w:rFonts w:hint="eastAsia"/>
        </w:rPr>
        <w:t>评分标准</w:t>
      </w:r>
    </w:p>
    <w:p>
      <w:pPr>
        <w:ind w:firstLine="480"/>
        <w:rPr>
          <w:rFonts w:hint="eastAsia" w:eastAsia="宋体"/>
        </w:rPr>
      </w:pPr>
      <w:r>
        <w:rPr>
          <w:rFonts w:hint="eastAsia" w:eastAsia="宋体"/>
        </w:rPr>
        <w:t>共100分，其中商务技术分</w:t>
      </w:r>
      <w:r>
        <w:rPr>
          <w:rFonts w:hint="eastAsia"/>
          <w:lang w:val="en-US" w:eastAsia="zh-CN"/>
        </w:rPr>
        <w:t>9</w:t>
      </w:r>
      <w:r>
        <w:rPr>
          <w:rFonts w:hint="eastAsia" w:eastAsia="宋体"/>
        </w:rPr>
        <w:t>0分，价格分</w:t>
      </w:r>
      <w:r>
        <w:rPr>
          <w:rFonts w:hint="eastAsia"/>
          <w:lang w:val="en-US" w:eastAsia="zh-CN"/>
        </w:rPr>
        <w:t>1</w:t>
      </w:r>
      <w:r>
        <w:rPr>
          <w:rFonts w:hint="eastAsia" w:eastAsia="宋体"/>
        </w:rPr>
        <w:t>0分。评分依下述所列为评标打分依据。</w:t>
      </w:r>
    </w:p>
    <w:p>
      <w:pPr>
        <w:pStyle w:val="5"/>
        <w:bidi w:val="0"/>
      </w:pPr>
      <w:r>
        <w:rPr>
          <w:rFonts w:hint="eastAsia"/>
        </w:rPr>
        <w:t>价格分</w:t>
      </w:r>
      <w:r>
        <w:rPr>
          <w:rFonts w:hint="eastAsia"/>
          <w:lang w:val="en-US" w:eastAsia="zh-CN"/>
        </w:rPr>
        <w:t>1</w:t>
      </w:r>
      <w:r>
        <w:rPr>
          <w:rFonts w:hint="eastAsia"/>
        </w:rPr>
        <w:t>0分</w:t>
      </w:r>
    </w:p>
    <w:p>
      <w:pPr>
        <w:ind w:firstLine="480"/>
      </w:pPr>
      <w:r>
        <w:rPr>
          <w:rFonts w:hint="eastAsia"/>
        </w:rPr>
        <w:t>不超过采购预算，满足</w:t>
      </w:r>
      <w:r>
        <w:rPr>
          <w:rFonts w:hint="eastAsia"/>
          <w:lang w:val="en-US" w:eastAsia="zh-CN"/>
        </w:rPr>
        <w:t>比选</w:t>
      </w:r>
      <w:r>
        <w:rPr>
          <w:rFonts w:hint="eastAsia"/>
        </w:rPr>
        <w:t>文件要求且有效最终评审价格最低的为基准价。</w:t>
      </w:r>
    </w:p>
    <w:p>
      <w:pPr>
        <w:ind w:firstLine="480"/>
      </w:pPr>
      <w:r>
        <w:rPr>
          <w:rFonts w:hint="eastAsia"/>
        </w:rPr>
        <w:t>各</w:t>
      </w:r>
      <w:r>
        <w:rPr>
          <w:rFonts w:hint="eastAsia"/>
          <w:lang w:val="en-US" w:eastAsia="zh-CN"/>
        </w:rPr>
        <w:t>报价</w:t>
      </w:r>
      <w:r>
        <w:rPr>
          <w:rFonts w:hint="eastAsia"/>
          <w:lang w:eastAsia="zh-CN"/>
        </w:rPr>
        <w:t>人</w:t>
      </w:r>
      <w:r>
        <w:rPr>
          <w:rFonts w:hint="eastAsia"/>
        </w:rPr>
        <w:t>的价格分统一按照下列公式计算：</w:t>
      </w:r>
    </w:p>
    <w:p>
      <w:pPr>
        <w:ind w:firstLine="482"/>
        <w:rPr>
          <w:b/>
        </w:rPr>
      </w:pPr>
      <w:r>
        <w:rPr>
          <w:rFonts w:hint="eastAsia"/>
        </w:rPr>
        <w:t>价格部分得分=基准价/各</w:t>
      </w:r>
      <w:r>
        <w:rPr>
          <w:rFonts w:hint="eastAsia"/>
          <w:lang w:val="en-US" w:eastAsia="zh-CN"/>
        </w:rPr>
        <w:t>报价</w:t>
      </w:r>
      <w:r>
        <w:rPr>
          <w:rFonts w:hint="eastAsia"/>
          <w:lang w:eastAsia="zh-CN"/>
        </w:rPr>
        <w:t>人</w:t>
      </w:r>
      <w:r>
        <w:rPr>
          <w:rFonts w:hint="eastAsia"/>
        </w:rPr>
        <w:t>最终评审价格×</w:t>
      </w:r>
      <w:r>
        <w:rPr>
          <w:rFonts w:hint="eastAsia"/>
          <w:lang w:val="en-US" w:eastAsia="zh-CN"/>
        </w:rPr>
        <w:t>1</w:t>
      </w:r>
      <w:r>
        <w:rPr>
          <w:rFonts w:hint="eastAsia"/>
        </w:rPr>
        <w:t>0。</w:t>
      </w:r>
    </w:p>
    <w:p>
      <w:pPr>
        <w:pStyle w:val="5"/>
        <w:bidi w:val="0"/>
      </w:pPr>
      <w:r>
        <w:rPr>
          <w:rFonts w:hint="eastAsia"/>
        </w:rPr>
        <w:t>商务</w:t>
      </w:r>
      <w:r>
        <w:rPr>
          <w:rFonts w:hint="eastAsia"/>
          <w:lang w:val="en-US" w:eastAsia="zh-CN"/>
        </w:rPr>
        <w:t>技术</w:t>
      </w:r>
      <w:r>
        <w:rPr>
          <w:rFonts w:hint="eastAsia"/>
        </w:rPr>
        <w:t>分</w:t>
      </w:r>
      <w:r>
        <w:rPr>
          <w:rFonts w:hint="eastAsia"/>
          <w:lang w:val="en-US" w:eastAsia="zh-CN"/>
        </w:rPr>
        <w:t>9</w:t>
      </w:r>
      <w:r>
        <w:t>0</w:t>
      </w:r>
      <w:r>
        <w:rPr>
          <w:rFonts w:hint="eastAsia"/>
        </w:rPr>
        <w:t>分</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4"/>
        <w:gridCol w:w="6182"/>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4" w:type="pct"/>
            <w:tcBorders>
              <w:top w:val="single" w:color="000000" w:sz="4" w:space="0"/>
              <w:left w:val="single" w:color="000000"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评分项目</w:t>
            </w:r>
          </w:p>
        </w:tc>
        <w:tc>
          <w:tcPr>
            <w:tcW w:w="3627" w:type="pct"/>
            <w:tcBorders>
              <w:top w:val="single" w:color="000000"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评标要点及说明</w:t>
            </w:r>
          </w:p>
        </w:tc>
        <w:tc>
          <w:tcPr>
            <w:tcW w:w="678" w:type="pct"/>
            <w:tcBorders>
              <w:top w:val="single" w:color="000000" w:sz="4"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694" w:type="pc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业绩</w:t>
            </w:r>
            <w:r>
              <w:rPr>
                <w:rStyle w:val="24"/>
                <w:lang w:val="en-US" w:eastAsia="zh-CN" w:bidi="ar"/>
              </w:rPr>
              <w:t>证明</w:t>
            </w:r>
          </w:p>
        </w:tc>
        <w:tc>
          <w:tcPr>
            <w:tcW w:w="362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报价</w:t>
            </w:r>
            <w:r>
              <w:rPr>
                <w:rFonts w:hint="eastAsia" w:ascii="宋体" w:hAnsi="宋体" w:eastAsia="宋体" w:cs="宋体"/>
                <w:i w:val="0"/>
                <w:iCs w:val="0"/>
                <w:color w:val="000000"/>
                <w:kern w:val="0"/>
                <w:sz w:val="21"/>
                <w:szCs w:val="21"/>
                <w:u w:val="none"/>
                <w:lang w:val="en-US" w:eastAsia="zh-CN" w:bidi="ar"/>
              </w:rPr>
              <w:t>人须提供近三年（开标之日往前追溯三年，以签订合同之日或中标通知书发出之日为准）的</w:t>
            </w:r>
            <w:r>
              <w:rPr>
                <w:rFonts w:hint="eastAsia" w:ascii="宋体" w:hAnsi="宋体" w:cs="宋体"/>
                <w:i w:val="0"/>
                <w:iCs w:val="0"/>
                <w:color w:val="000000"/>
                <w:kern w:val="0"/>
                <w:sz w:val="21"/>
                <w:szCs w:val="21"/>
                <w:u w:val="none"/>
                <w:lang w:val="en-US" w:eastAsia="zh-CN" w:bidi="ar"/>
              </w:rPr>
              <w:t>本项目采购方签约的</w:t>
            </w:r>
            <w:r>
              <w:rPr>
                <w:rFonts w:hint="eastAsia" w:ascii="宋体" w:hAnsi="宋体" w:eastAsia="宋体" w:cs="宋体"/>
                <w:i w:val="0"/>
                <w:iCs w:val="0"/>
                <w:color w:val="000000"/>
                <w:kern w:val="0"/>
                <w:sz w:val="21"/>
                <w:szCs w:val="21"/>
                <w:u w:val="none"/>
                <w:lang w:val="en-US" w:eastAsia="zh-CN" w:bidi="ar"/>
              </w:rPr>
              <w:t>应用案例，每提供一个有效业绩得</w:t>
            </w:r>
            <w:r>
              <w:rPr>
                <w:rStyle w:val="23"/>
                <w:rFonts w:hint="eastAsia"/>
                <w:lang w:val="en-US" w:eastAsia="zh-CN" w:bidi="ar"/>
              </w:rPr>
              <w:t>4</w:t>
            </w:r>
            <w:r>
              <w:rPr>
                <w:rStyle w:val="24"/>
                <w:lang w:val="en-US" w:eastAsia="zh-CN" w:bidi="ar"/>
              </w:rPr>
              <w:t>分，最高得</w:t>
            </w:r>
            <w:r>
              <w:rPr>
                <w:rStyle w:val="23"/>
                <w:rFonts w:hint="eastAsia"/>
                <w:lang w:val="en-US" w:eastAsia="zh-CN" w:bidi="ar"/>
              </w:rPr>
              <w:t>8</w:t>
            </w:r>
            <w:r>
              <w:rPr>
                <w:rStyle w:val="24"/>
                <w:lang w:val="en-US" w:eastAsia="zh-CN" w:bidi="ar"/>
              </w:rPr>
              <w:t>分。（提供中标通知书或合同复印件）。</w:t>
            </w:r>
          </w:p>
        </w:tc>
        <w:tc>
          <w:tcPr>
            <w:tcW w:w="678" w:type="pc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eastAsia" w:ascii="Calibri" w:hAnsi="Calibri" w:cs="Calibri"/>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94" w:type="pct"/>
            <w:tcBorders>
              <w:top w:val="nil"/>
              <w:left w:val="single" w:color="000000"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技术方案与承诺</w:t>
            </w:r>
          </w:p>
        </w:tc>
        <w:tc>
          <w:tcPr>
            <w:tcW w:w="3627"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both"/>
              <w:textAlignment w:val="center"/>
              <w:rPr>
                <w:rFonts w:hint="eastAsia"/>
                <w:lang w:val="en-US" w:eastAsia="zh-CN"/>
              </w:rPr>
            </w:pPr>
            <w:r>
              <w:rPr>
                <w:rFonts w:hint="eastAsia"/>
                <w:lang w:val="en-US" w:eastAsia="zh-CN"/>
              </w:rPr>
              <w:t>根据报价人的技术方案进行综合评价：</w:t>
            </w:r>
          </w:p>
          <w:p>
            <w:pPr>
              <w:keepNext w:val="0"/>
              <w:keepLines w:val="0"/>
              <w:widowControl/>
              <w:suppressLineNumbers w:val="0"/>
              <w:jc w:val="both"/>
              <w:textAlignment w:val="center"/>
              <w:rPr>
                <w:rFonts w:hint="eastAsia"/>
                <w:lang w:val="en-US" w:eastAsia="zh-CN"/>
              </w:rPr>
            </w:pPr>
            <w:r>
              <w:rPr>
                <w:rFonts w:hint="eastAsia"/>
                <w:lang w:val="en-US" w:eastAsia="zh-CN"/>
              </w:rPr>
              <w:t>• 优（15分）：方案详尽，完全满足并优于招标要求，对项目理解深刻，实施思路清晰，有创新性优化建议。</w:t>
            </w:r>
          </w:p>
          <w:p>
            <w:pPr>
              <w:keepNext w:val="0"/>
              <w:keepLines w:val="0"/>
              <w:widowControl/>
              <w:suppressLineNumbers w:val="0"/>
              <w:jc w:val="both"/>
              <w:textAlignment w:val="center"/>
              <w:rPr>
                <w:rFonts w:hint="eastAsia"/>
                <w:lang w:val="en-US" w:eastAsia="zh-CN"/>
              </w:rPr>
            </w:pPr>
            <w:r>
              <w:rPr>
                <w:rFonts w:hint="eastAsia"/>
                <w:lang w:val="en-US" w:eastAsia="zh-CN"/>
              </w:rPr>
              <w:t>• 良（10分）：方案完整，能满足所有关键技术要求，实施路径明确。</w:t>
            </w:r>
          </w:p>
          <w:p>
            <w:pPr>
              <w:keepNext w:val="0"/>
              <w:keepLines w:val="0"/>
              <w:widowControl/>
              <w:suppressLineNumbers w:val="0"/>
              <w:jc w:val="both"/>
              <w:textAlignment w:val="center"/>
              <w:rPr>
                <w:rFonts w:hint="eastAsia"/>
                <w:lang w:val="en-US" w:eastAsia="zh-CN"/>
              </w:rPr>
            </w:pPr>
            <w:r>
              <w:rPr>
                <w:rFonts w:hint="eastAsia"/>
                <w:lang w:val="en-US" w:eastAsia="zh-CN"/>
              </w:rPr>
              <w:t>• 中（5分）：方案基本满足要求，但缺乏细节或深度。</w:t>
            </w:r>
          </w:p>
          <w:p>
            <w:pPr>
              <w:widowControl/>
              <w:textAlignment w:val="center"/>
              <w:rPr>
                <w:rFonts w:hint="default"/>
                <w:lang w:val="en-US"/>
              </w:rPr>
            </w:pPr>
            <w:r>
              <w:rPr>
                <w:rFonts w:hint="eastAsia"/>
                <w:lang w:val="en-US" w:eastAsia="zh-CN"/>
              </w:rPr>
              <w:t>• 不提供则本项0分。</w:t>
            </w:r>
          </w:p>
        </w:tc>
        <w:tc>
          <w:tcPr>
            <w:tcW w:w="678" w:type="pct"/>
            <w:tcBorders>
              <w:top w:val="nil"/>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eastAsia" w:ascii="Calibri" w:hAnsi="Calibri" w:cs="Calibri"/>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694" w:type="pct"/>
            <w:tcBorders>
              <w:top w:val="single" w:color="auto" w:sz="4"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算力服务性能与配置符合性</w:t>
            </w:r>
          </w:p>
        </w:tc>
        <w:tc>
          <w:tcPr>
            <w:tcW w:w="3627"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w:t>
            </w:r>
            <w:r>
              <w:rPr>
                <w:rFonts w:hint="eastAsia" w:ascii="宋体" w:hAnsi="宋体" w:cs="宋体"/>
                <w:i w:val="0"/>
                <w:iCs w:val="0"/>
                <w:color w:val="000000"/>
                <w:kern w:val="0"/>
                <w:sz w:val="21"/>
                <w:szCs w:val="21"/>
                <w:u w:val="none"/>
                <w:lang w:val="en-US" w:eastAsia="zh-CN" w:bidi="ar"/>
              </w:rPr>
              <w:t>报价</w:t>
            </w:r>
            <w:r>
              <w:rPr>
                <w:rFonts w:hint="eastAsia" w:ascii="宋体" w:hAnsi="宋体" w:eastAsia="宋体" w:cs="宋体"/>
                <w:i w:val="0"/>
                <w:iCs w:val="0"/>
                <w:color w:val="000000"/>
                <w:kern w:val="0"/>
                <w:sz w:val="21"/>
                <w:szCs w:val="21"/>
                <w:u w:val="none"/>
                <w:lang w:val="en-US" w:eastAsia="zh-CN" w:bidi="ar"/>
              </w:rPr>
              <w:t>人所投产品的技术指标、配置与</w:t>
            </w:r>
            <w:r>
              <w:rPr>
                <w:rFonts w:hint="eastAsia" w:ascii="宋体" w:hAnsi="宋体" w:cs="宋体"/>
                <w:i w:val="0"/>
                <w:iCs w:val="0"/>
                <w:color w:val="000000"/>
                <w:kern w:val="0"/>
                <w:sz w:val="21"/>
                <w:szCs w:val="21"/>
                <w:u w:val="none"/>
                <w:lang w:val="en-US" w:eastAsia="zh-CN" w:bidi="ar"/>
              </w:rPr>
              <w:t>公告</w:t>
            </w:r>
            <w:r>
              <w:rPr>
                <w:rFonts w:hint="eastAsia" w:ascii="宋体" w:hAnsi="宋体" w:eastAsia="宋体" w:cs="宋体"/>
                <w:i w:val="0"/>
                <w:iCs w:val="0"/>
                <w:color w:val="000000"/>
                <w:kern w:val="0"/>
                <w:sz w:val="21"/>
                <w:szCs w:val="21"/>
                <w:u w:val="none"/>
                <w:lang w:val="en-US" w:eastAsia="zh-CN" w:bidi="ar"/>
              </w:rPr>
              <w:t>文件的符合程度：</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w:t>
            </w:r>
            <w:r>
              <w:rPr>
                <w:rFonts w:hint="eastAsia" w:asciiTheme="minorEastAsia" w:hAnsiTheme="minorEastAsia" w:eastAsiaTheme="minorEastAsia" w:cstheme="minorEastAsia"/>
                <w:i w:val="0"/>
                <w:iCs w:val="0"/>
                <w:color w:val="000000"/>
                <w:kern w:val="0"/>
                <w:sz w:val="21"/>
                <w:szCs w:val="21"/>
                <w:u w:val="none"/>
                <w:lang w:val="en-US" w:eastAsia="zh-CN" w:bidi="ar"/>
              </w:rPr>
              <w:t>本项目报价人所提供</w:t>
            </w:r>
            <w:r>
              <w:rPr>
                <w:rFonts w:hint="eastAsia" w:asciiTheme="minorEastAsia" w:hAnsiTheme="minorEastAsia" w:eastAsiaTheme="minorEastAsia" w:cstheme="minorEastAsia"/>
                <w:i w:val="0"/>
                <w:iCs w:val="0"/>
                <w:color w:val="000000"/>
                <w:sz w:val="21"/>
                <w:szCs w:val="21"/>
                <w:u w:val="none"/>
                <w:lang w:val="en-US" w:eastAsia="zh-CN"/>
              </w:rPr>
              <w:t>算力服务器配置每满足以下一项指标：CPU</w:t>
            </w:r>
            <w:r>
              <w:rPr>
                <w:rFonts w:hint="eastAsia" w:asciiTheme="minorEastAsia" w:hAnsiTheme="minorEastAsia" w:eastAsiaTheme="minorEastAsia" w:cstheme="minorEastAsia"/>
                <w:i w:val="0"/>
                <w:iCs w:val="0"/>
                <w:color w:val="000000"/>
                <w:kern w:val="0"/>
                <w:sz w:val="21"/>
                <w:szCs w:val="21"/>
                <w:u w:val="none"/>
                <w:lang w:val="en-US" w:eastAsia="zh-CN" w:bidi="ar"/>
              </w:rPr>
              <w:t>、NPU、</w:t>
            </w:r>
            <w:r>
              <w:rPr>
                <w:rFonts w:hint="default" w:asciiTheme="minorEastAsia" w:hAnsiTheme="minorEastAsia" w:eastAsiaTheme="minorEastAsia" w:cstheme="minorEastAsia"/>
                <w:i w:val="0"/>
                <w:iCs w:val="0"/>
                <w:color w:val="000000"/>
                <w:sz w:val="21"/>
                <w:szCs w:val="21"/>
                <w:u w:val="none"/>
                <w:lang w:val="en-US"/>
              </w:rPr>
              <w:t>硬盘</w:t>
            </w:r>
            <w:r>
              <w:rPr>
                <w:rFonts w:hint="eastAsia" w:asciiTheme="minorEastAsia" w:hAnsiTheme="minorEastAsia" w:eastAsiaTheme="minorEastAsia" w:cstheme="minorEastAsia"/>
                <w:i w:val="0"/>
                <w:iCs w:val="0"/>
                <w:color w:val="000000"/>
                <w:sz w:val="21"/>
                <w:szCs w:val="21"/>
                <w:u w:val="none"/>
                <w:lang w:val="en-US" w:eastAsia="zh-CN"/>
              </w:rPr>
              <w:t>、售后服务得4分，最高16分，不满足不得分</w:t>
            </w:r>
          </w:p>
        </w:tc>
        <w:tc>
          <w:tcPr>
            <w:tcW w:w="678" w:type="pct"/>
            <w:tcBorders>
              <w:top w:val="single" w:color="auto" w:sz="4" w:space="0"/>
              <w:left w:val="single" w:color="000000"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94" w:type="pct"/>
            <w:vMerge w:val="restart"/>
            <w:tcBorders>
              <w:top w:val="single" w:color="auto" w:sz="4" w:space="0"/>
              <w:left w:val="single" w:color="000000"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项目团队</w:t>
            </w:r>
          </w:p>
        </w:tc>
        <w:tc>
          <w:tcPr>
            <w:tcW w:w="36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lang w:val="en-US" w:eastAsia="zh-CN"/>
              </w:rPr>
            </w:pPr>
            <w:r>
              <w:rPr>
                <w:rFonts w:hint="eastAsia"/>
                <w:lang w:val="en-US" w:eastAsia="zh-CN"/>
              </w:rPr>
              <w:t>报价人拟派的现场项目经理具有ITIL</w:t>
            </w:r>
            <w:r>
              <w:rPr>
                <w:lang w:val="en-US" w:eastAsia="zh-CN"/>
              </w:rPr>
              <w:t>认证证书</w:t>
            </w:r>
            <w:r>
              <w:rPr>
                <w:rFonts w:hint="eastAsia"/>
                <w:lang w:val="en-US" w:eastAsia="zh-CN"/>
              </w:rPr>
              <w:t>、PMP认证证书，满足一项得5分，本项最高10分。</w:t>
            </w:r>
          </w:p>
          <w:p>
            <w:pPr>
              <w:pStyle w:val="2"/>
              <w:rPr>
                <w:rFonts w:hint="eastAsia"/>
              </w:rPr>
            </w:pPr>
            <w:r>
              <w:rPr>
                <w:rFonts w:hint="eastAsia"/>
              </w:rPr>
              <w:t>（注：需提供证书证明，同一人不重复计分）</w:t>
            </w:r>
          </w:p>
        </w:tc>
        <w:tc>
          <w:tcPr>
            <w:tcW w:w="678" w:type="pct"/>
            <w:tcBorders>
              <w:top w:val="single" w:color="auto" w:sz="4" w:space="0"/>
              <w:left w:val="single" w:color="auto"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4" w:type="pct"/>
            <w:vMerge w:val="continue"/>
            <w:tcBorders>
              <w:top w:val="nil"/>
              <w:left w:val="single" w:color="000000" w:sz="4" w:space="0"/>
              <w:bottom w:val="single" w:color="000000" w:sz="8"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lang w:val="en-US" w:eastAsia="zh-CN"/>
              </w:rPr>
            </w:pPr>
            <w:r>
              <w:rPr>
                <w:rFonts w:hint="eastAsia"/>
                <w:lang w:val="en-US" w:eastAsia="zh-CN"/>
              </w:rPr>
              <w:t>报价人拟派的项目团队每具有一个ITIL</w:t>
            </w:r>
            <w:r>
              <w:rPr>
                <w:lang w:val="en-US" w:eastAsia="zh-CN"/>
              </w:rPr>
              <w:t>认证证书</w:t>
            </w:r>
            <w:r>
              <w:rPr>
                <w:rFonts w:hint="eastAsia"/>
                <w:lang w:val="en-US" w:eastAsia="zh-CN"/>
              </w:rPr>
              <w:t>，得2分，本项最高4分；</w:t>
            </w:r>
          </w:p>
          <w:p>
            <w:pPr>
              <w:keepNext w:val="0"/>
              <w:keepLines w:val="0"/>
              <w:widowControl/>
              <w:suppressLineNumbers w:val="0"/>
              <w:jc w:val="both"/>
              <w:textAlignment w:val="center"/>
              <w:rPr>
                <w:rFonts w:hint="eastAsia"/>
                <w:lang w:val="en-US" w:eastAsia="zh-CN"/>
              </w:rPr>
            </w:pPr>
            <w:r>
              <w:rPr>
                <w:rFonts w:hint="eastAsia"/>
                <w:lang w:val="en-US" w:eastAsia="zh-CN"/>
              </w:rPr>
              <w:t>报价人拟派的项目团队每具有一个中级及以上工程师</w:t>
            </w:r>
            <w:r>
              <w:rPr>
                <w:lang w:val="en-US" w:eastAsia="zh-CN"/>
              </w:rPr>
              <w:t>认证证书</w:t>
            </w:r>
            <w:r>
              <w:rPr>
                <w:rFonts w:hint="eastAsia"/>
                <w:lang w:val="en-US" w:eastAsia="zh-CN"/>
              </w:rPr>
              <w:t>，得2分，本项最高4分；</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rPr>
              <w:t>（注：需提供证书证明，同一人不重复计分）</w:t>
            </w:r>
          </w:p>
        </w:tc>
        <w:tc>
          <w:tcPr>
            <w:tcW w:w="678" w:type="pct"/>
            <w:tcBorders>
              <w:top w:val="nil"/>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5" w:hRule="atLeast"/>
        </w:trPr>
        <w:tc>
          <w:tcPr>
            <w:tcW w:w="694" w:type="pct"/>
            <w:vMerge w:val="restart"/>
            <w:tcBorders>
              <w:top w:val="nil"/>
              <w:left w:val="single" w:color="000000"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算力服务资源安全性</w:t>
            </w:r>
          </w:p>
        </w:tc>
        <w:tc>
          <w:tcPr>
            <w:tcW w:w="36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lang w:val="en-US" w:eastAsia="zh-CN"/>
              </w:rPr>
            </w:pPr>
            <w:r>
              <w:rPr>
                <w:rFonts w:hint="eastAsia"/>
                <w:lang w:val="en-US" w:eastAsia="zh-CN"/>
              </w:rPr>
              <w:t>根据报价人提供的技术方案的相关安全保障措施进行评分；</w:t>
            </w:r>
          </w:p>
          <w:p>
            <w:pPr>
              <w:pStyle w:val="2"/>
              <w:rPr>
                <w:rFonts w:hint="eastAsia"/>
                <w:lang w:val="en-US" w:eastAsia="zh-CN"/>
              </w:rPr>
            </w:pPr>
            <w:r>
              <w:rPr>
                <w:rFonts w:hint="eastAsia"/>
                <w:lang w:val="en-US" w:eastAsia="zh-CN"/>
              </w:rPr>
              <w:t>• 优（15分）：方案详尽，涵盖基础设施安全、数据安全、管理安全，可操作性强。</w:t>
            </w:r>
          </w:p>
          <w:p>
            <w:pPr>
              <w:pStyle w:val="2"/>
              <w:rPr>
                <w:rFonts w:hint="default"/>
                <w:lang w:val="en-US" w:eastAsia="zh-CN"/>
              </w:rPr>
            </w:pPr>
            <w:r>
              <w:rPr>
                <w:rFonts w:hint="eastAsia"/>
                <w:lang w:val="en-US" w:eastAsia="zh-CN"/>
              </w:rPr>
              <w:t>• 良（10分）：方案完整，部分涵盖基础设施安全、数据安全、管理安全，安全防控手段基本清晰</w:t>
            </w:r>
          </w:p>
          <w:p>
            <w:pPr>
              <w:pStyle w:val="2"/>
              <w:rPr>
                <w:rFonts w:hint="eastAsia"/>
                <w:lang w:val="en-US" w:eastAsia="zh-CN"/>
              </w:rPr>
            </w:pPr>
            <w:r>
              <w:rPr>
                <w:rFonts w:hint="eastAsia"/>
                <w:lang w:val="en-US" w:eastAsia="zh-CN"/>
              </w:rPr>
              <w:t>• 中（5分）：</w:t>
            </w:r>
            <w:r>
              <w:t>方案简单，</w:t>
            </w:r>
            <w:r>
              <w:rPr>
                <w:rFonts w:hint="eastAsia"/>
                <w:lang w:val="en-US" w:eastAsia="zh-CN"/>
              </w:rPr>
              <w:t>欠缺基础设施安全、数据安全、管理安全管理办法。</w:t>
            </w:r>
          </w:p>
          <w:p>
            <w:pPr>
              <w:rPr>
                <w:rFonts w:hint="eastAsia"/>
                <w:lang w:val="en-US" w:eastAsia="zh-CN"/>
              </w:rPr>
            </w:pPr>
            <w:r>
              <w:rPr>
                <w:rFonts w:hint="eastAsia"/>
                <w:lang w:val="en-US" w:eastAsia="zh-CN"/>
              </w:rPr>
              <w:t>• 不提供则本项0分</w:t>
            </w:r>
          </w:p>
        </w:tc>
        <w:tc>
          <w:tcPr>
            <w:tcW w:w="6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4" w:hRule="atLeast"/>
        </w:trPr>
        <w:tc>
          <w:tcPr>
            <w:tcW w:w="694" w:type="pc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售后服务</w:t>
            </w:r>
          </w:p>
        </w:tc>
        <w:tc>
          <w:tcPr>
            <w:tcW w:w="3627"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both"/>
              <w:textAlignment w:val="center"/>
              <w:rPr>
                <w:rFonts w:hint="default"/>
              </w:rPr>
            </w:pPr>
            <w:r>
              <w:rPr>
                <w:rFonts w:hint="default"/>
              </w:rPr>
              <w:t>对售后服务方案的全面性、响应承诺进行评价：</w:t>
            </w:r>
          </w:p>
          <w:p>
            <w:pPr>
              <w:keepNext w:val="0"/>
              <w:keepLines w:val="0"/>
              <w:widowControl/>
              <w:suppressLineNumbers w:val="0"/>
              <w:jc w:val="both"/>
              <w:textAlignment w:val="center"/>
              <w:rPr>
                <w:rFonts w:hint="default"/>
              </w:rPr>
            </w:pPr>
            <w:r>
              <w:rPr>
                <w:rFonts w:hint="default"/>
              </w:rPr>
              <w:t>• 优（</w:t>
            </w:r>
            <w:r>
              <w:rPr>
                <w:rFonts w:hint="eastAsia"/>
                <w:lang w:val="en-US" w:eastAsia="zh-CN"/>
              </w:rPr>
              <w:t>12</w:t>
            </w:r>
            <w:r>
              <w:rPr>
                <w:rFonts w:hint="default"/>
              </w:rPr>
              <w:t>分）：服务方案远超招标要求，</w:t>
            </w:r>
            <w:r>
              <w:rPr>
                <w:rFonts w:hint="eastAsia"/>
                <w:lang w:val="en-US" w:eastAsia="zh-CN"/>
              </w:rPr>
              <w:t>合同签约后1年</w:t>
            </w:r>
            <w:r>
              <w:rPr>
                <w:rFonts w:hint="default"/>
              </w:rPr>
              <w:t>提供7x24小时高级别服务承诺。</w:t>
            </w:r>
          </w:p>
          <w:p>
            <w:pPr>
              <w:keepNext w:val="0"/>
              <w:keepLines w:val="0"/>
              <w:widowControl/>
              <w:suppressLineNumbers w:val="0"/>
              <w:jc w:val="both"/>
              <w:textAlignment w:val="center"/>
              <w:rPr>
                <w:rFonts w:hint="default"/>
              </w:rPr>
            </w:pPr>
            <w:r>
              <w:rPr>
                <w:rFonts w:hint="default"/>
              </w:rPr>
              <w:t>• 良（</w:t>
            </w:r>
            <w:r>
              <w:rPr>
                <w:rFonts w:hint="eastAsia"/>
                <w:lang w:val="en-US" w:eastAsia="zh-CN"/>
              </w:rPr>
              <w:t>6</w:t>
            </w:r>
            <w:r>
              <w:rPr>
                <w:rFonts w:hint="default"/>
              </w:rPr>
              <w:t>分）：服务方案良好，完全满足招标要求。</w:t>
            </w:r>
          </w:p>
          <w:p>
            <w:pPr>
              <w:keepNext w:val="0"/>
              <w:keepLines w:val="0"/>
              <w:widowControl/>
              <w:suppressLineNumbers w:val="0"/>
              <w:jc w:val="both"/>
              <w:textAlignment w:val="center"/>
              <w:rPr>
                <w:rFonts w:hint="default"/>
              </w:rPr>
            </w:pPr>
            <w:r>
              <w:rPr>
                <w:rFonts w:hint="default"/>
              </w:rPr>
              <w:t>• 中（</w:t>
            </w:r>
            <w:r>
              <w:rPr>
                <w:rFonts w:hint="eastAsia"/>
                <w:lang w:val="en-US" w:eastAsia="zh-CN"/>
              </w:rPr>
              <w:t>3</w:t>
            </w:r>
            <w:r>
              <w:rPr>
                <w:rFonts w:hint="default"/>
              </w:rPr>
              <w:t>分）：方案简单，</w:t>
            </w:r>
            <w:r>
              <w:rPr>
                <w:rFonts w:hint="eastAsia"/>
                <w:lang w:val="en-US" w:eastAsia="zh-CN"/>
              </w:rPr>
              <w:t>为满足服务期</w:t>
            </w:r>
            <w:r>
              <w:rPr>
                <w:rFonts w:hint="default"/>
              </w:rPr>
              <w:t>要求。</w:t>
            </w:r>
          </w:p>
          <w:p>
            <w:pPr>
              <w:pStyle w:val="2"/>
              <w:rPr>
                <w:rFonts w:hint="default"/>
              </w:rPr>
            </w:pPr>
            <w:r>
              <w:rPr>
                <w:rFonts w:hint="eastAsia"/>
                <w:lang w:val="en-US" w:eastAsia="zh-CN"/>
              </w:rPr>
              <w:t>• 不提供则本项0分</w:t>
            </w:r>
          </w:p>
        </w:tc>
        <w:tc>
          <w:tcPr>
            <w:tcW w:w="678" w:type="pct"/>
            <w:tcBorders>
              <w:top w:val="single" w:color="auto"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9" w:hRule="atLeast"/>
        </w:trPr>
        <w:tc>
          <w:tcPr>
            <w:tcW w:w="694" w:type="pct"/>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交货期</w:t>
            </w:r>
          </w:p>
        </w:tc>
        <w:tc>
          <w:tcPr>
            <w:tcW w:w="3627"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sz w:val="21"/>
                <w:szCs w:val="21"/>
                <w:u w:val="none"/>
              </w:rPr>
              <w:t>对承诺的交货期进行评价：</w:t>
            </w:r>
          </w:p>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sz w:val="21"/>
                <w:szCs w:val="21"/>
                <w:u w:val="none"/>
              </w:rPr>
              <w:t xml:space="preserve">• 承诺的交货期短于招标要求，每短 5个工作日，得 </w:t>
            </w:r>
            <w:r>
              <w:rPr>
                <w:rFonts w:hint="eastAsia" w:ascii="Calibri" w:hAnsi="Calibri" w:cs="Calibri"/>
                <w:i w:val="0"/>
                <w:iCs w:val="0"/>
                <w:color w:val="000000"/>
                <w:sz w:val="21"/>
                <w:szCs w:val="21"/>
                <w:u w:val="none"/>
                <w:lang w:val="en-US" w:eastAsia="zh-CN"/>
              </w:rPr>
              <w:t>3</w:t>
            </w:r>
            <w:r>
              <w:rPr>
                <w:rFonts w:hint="default" w:ascii="Calibri" w:hAnsi="Calibri" w:eastAsia="宋体" w:cs="Calibri"/>
                <w:i w:val="0"/>
                <w:iCs w:val="0"/>
                <w:color w:val="000000"/>
                <w:sz w:val="21"/>
                <w:szCs w:val="21"/>
                <w:u w:val="none"/>
              </w:rPr>
              <w:t xml:space="preserve">分，最高 </w:t>
            </w:r>
            <w:r>
              <w:rPr>
                <w:rFonts w:hint="eastAsia" w:ascii="Calibri" w:hAnsi="Calibri" w:cs="Calibri"/>
                <w:i w:val="0"/>
                <w:iCs w:val="0"/>
                <w:color w:val="000000"/>
                <w:sz w:val="21"/>
                <w:szCs w:val="21"/>
                <w:u w:val="none"/>
                <w:lang w:val="en-US" w:eastAsia="zh-CN"/>
              </w:rPr>
              <w:t>6</w:t>
            </w:r>
            <w:r>
              <w:rPr>
                <w:rFonts w:hint="default" w:ascii="Calibri" w:hAnsi="Calibri" w:eastAsia="宋体" w:cs="Calibri"/>
                <w:i w:val="0"/>
                <w:iCs w:val="0"/>
                <w:color w:val="000000"/>
                <w:sz w:val="21"/>
                <w:szCs w:val="21"/>
                <w:u w:val="none"/>
              </w:rPr>
              <w:t>分。</w:t>
            </w:r>
          </w:p>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sz w:val="21"/>
                <w:szCs w:val="21"/>
                <w:u w:val="none"/>
              </w:rPr>
              <w:t xml:space="preserve">• 承诺满足招标文件要求，得 </w:t>
            </w:r>
            <w:r>
              <w:rPr>
                <w:rFonts w:hint="eastAsia" w:ascii="Calibri" w:hAnsi="Calibri" w:cs="Calibri"/>
                <w:i w:val="0"/>
                <w:iCs w:val="0"/>
                <w:color w:val="000000"/>
                <w:sz w:val="21"/>
                <w:szCs w:val="21"/>
                <w:u w:val="none"/>
                <w:lang w:val="en-US" w:eastAsia="zh-CN"/>
              </w:rPr>
              <w:t>2</w:t>
            </w:r>
            <w:r>
              <w:rPr>
                <w:rFonts w:hint="default" w:ascii="Calibri" w:hAnsi="Calibri" w:eastAsia="宋体" w:cs="Calibri"/>
                <w:i w:val="0"/>
                <w:iCs w:val="0"/>
                <w:color w:val="000000"/>
                <w:sz w:val="21"/>
                <w:szCs w:val="21"/>
                <w:u w:val="none"/>
              </w:rPr>
              <w:t>分。</w:t>
            </w:r>
          </w:p>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sz w:val="21"/>
                <w:szCs w:val="21"/>
                <w:u w:val="none"/>
              </w:rPr>
              <w:t>• 承诺的交货期长于招标要求</w:t>
            </w:r>
            <w:r>
              <w:rPr>
                <w:rFonts w:hint="eastAsia" w:ascii="Calibri" w:hAnsi="Calibri" w:cs="Calibri"/>
                <w:i w:val="0"/>
                <w:iCs w:val="0"/>
                <w:color w:val="000000"/>
                <w:sz w:val="21"/>
                <w:szCs w:val="21"/>
                <w:u w:val="none"/>
                <w:lang w:val="en-US" w:eastAsia="zh-CN"/>
              </w:rPr>
              <w:t>或未提供</w:t>
            </w:r>
            <w:bookmarkStart w:id="0" w:name="_GoBack"/>
            <w:bookmarkEnd w:id="0"/>
            <w:r>
              <w:rPr>
                <w:rFonts w:hint="default" w:ascii="Calibri" w:hAnsi="Calibri" w:eastAsia="宋体" w:cs="Calibri"/>
                <w:i w:val="0"/>
                <w:iCs w:val="0"/>
                <w:color w:val="000000"/>
                <w:sz w:val="21"/>
                <w:szCs w:val="21"/>
                <w:u w:val="none"/>
              </w:rPr>
              <w:t>，得 0分</w:t>
            </w:r>
          </w:p>
        </w:tc>
        <w:tc>
          <w:tcPr>
            <w:tcW w:w="678" w:type="pct"/>
            <w:tcBorders>
              <w:top w:val="single" w:color="auto" w:sz="4" w:space="0"/>
              <w:left w:val="single" w:color="000000"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6</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F1BFB1"/>
    <w:multiLevelType w:val="singleLevel"/>
    <w:tmpl w:val="F0F1BFB1"/>
    <w:lvl w:ilvl="0" w:tentative="0">
      <w:start w:val="1"/>
      <w:numFmt w:val="decimal"/>
      <w:suff w:val="nothing"/>
      <w:lvlText w:val="%1"/>
      <w:lvlJc w:val="left"/>
      <w:pPr>
        <w:tabs>
          <w:tab w:val="left" w:pos="0"/>
        </w:tabs>
        <w:ind w:left="0" w:firstLine="0"/>
      </w:pPr>
      <w:rPr>
        <w:rFonts w:hint="default"/>
      </w:rPr>
    </w:lvl>
  </w:abstractNum>
  <w:abstractNum w:abstractNumId="1">
    <w:nsid w:val="F7520F67"/>
    <w:multiLevelType w:val="multilevel"/>
    <w:tmpl w:val="F7520F67"/>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2">
    <w:nsid w:val="76872C4C"/>
    <w:multiLevelType w:val="singleLevel"/>
    <w:tmpl w:val="76872C4C"/>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MGFjNzExZmZmM2M4YjY0MGM1MjczMWExZGYzNTMifQ=="/>
  </w:docVars>
  <w:rsids>
    <w:rsidRoot w:val="1DD25D93"/>
    <w:rsid w:val="00975E9C"/>
    <w:rsid w:val="05DE25E1"/>
    <w:rsid w:val="06CE5CA7"/>
    <w:rsid w:val="085375B8"/>
    <w:rsid w:val="087B39E8"/>
    <w:rsid w:val="0E1F17A0"/>
    <w:rsid w:val="106A58B6"/>
    <w:rsid w:val="14B804EC"/>
    <w:rsid w:val="194C18CF"/>
    <w:rsid w:val="1DD25D93"/>
    <w:rsid w:val="217C6B87"/>
    <w:rsid w:val="218439FB"/>
    <w:rsid w:val="231A61AF"/>
    <w:rsid w:val="28DE0C32"/>
    <w:rsid w:val="2CBC5291"/>
    <w:rsid w:val="2EA23E6D"/>
    <w:rsid w:val="36783969"/>
    <w:rsid w:val="38316CA8"/>
    <w:rsid w:val="39743634"/>
    <w:rsid w:val="3D4A346B"/>
    <w:rsid w:val="41BE2CD6"/>
    <w:rsid w:val="42C64707"/>
    <w:rsid w:val="42C91868"/>
    <w:rsid w:val="44444E8A"/>
    <w:rsid w:val="493F0316"/>
    <w:rsid w:val="49521B12"/>
    <w:rsid w:val="4A673806"/>
    <w:rsid w:val="4D7A37A4"/>
    <w:rsid w:val="55AE4FFD"/>
    <w:rsid w:val="5800582C"/>
    <w:rsid w:val="58196B96"/>
    <w:rsid w:val="59477F68"/>
    <w:rsid w:val="5C6E4D42"/>
    <w:rsid w:val="5F7A4DB3"/>
    <w:rsid w:val="611E2EDC"/>
    <w:rsid w:val="61D45648"/>
    <w:rsid w:val="66871EA0"/>
    <w:rsid w:val="679F4A2F"/>
    <w:rsid w:val="6B571220"/>
    <w:rsid w:val="6DBC462A"/>
    <w:rsid w:val="6DD662A4"/>
    <w:rsid w:val="6F4E6291"/>
    <w:rsid w:val="744B6D39"/>
    <w:rsid w:val="77C16D45"/>
    <w:rsid w:val="7B9520AE"/>
    <w:rsid w:val="7EE33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0" w:firstLineChars="0"/>
      <w:jc w:val="both"/>
    </w:pPr>
    <w:rPr>
      <w:rFonts w:eastAsia="宋体" w:asciiTheme="minorAscii" w:hAnsiTheme="minorAscii" w:cstheme="minorBidi"/>
      <w:kern w:val="2"/>
      <w:sz w:val="21"/>
      <w:szCs w:val="21"/>
      <w:lang w:val="en-US" w:eastAsia="zh-CN" w:bidi="ar-SA"/>
    </w:rPr>
  </w:style>
  <w:style w:type="paragraph" w:styleId="3">
    <w:name w:val="heading 1"/>
    <w:basedOn w:val="1"/>
    <w:next w:val="1"/>
    <w:qFormat/>
    <w:uiPriority w:val="0"/>
    <w:pPr>
      <w:keepNext/>
      <w:keepLines/>
      <w:numPr>
        <w:ilvl w:val="0"/>
        <w:numId w:val="1"/>
      </w:numPr>
      <w:adjustRightInd w:val="0"/>
      <w:snapToGrid w:val="0"/>
      <w:spacing w:before="100" w:beforeLines="100"/>
      <w:jc w:val="left"/>
      <w:outlineLvl w:val="0"/>
    </w:pPr>
    <w:rPr>
      <w:rFonts w:ascii="宋体" w:hAnsi="宋体" w:eastAsia="宋体" w:cs="宋体"/>
      <w:b/>
      <w:kern w:val="44"/>
      <w:sz w:val="36"/>
      <w:szCs w:val="36"/>
    </w:rPr>
  </w:style>
  <w:style w:type="paragraph" w:styleId="4">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b/>
      <w:sz w:val="30"/>
    </w:rPr>
  </w:style>
  <w:style w:type="paragraph" w:styleId="5">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6">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宋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12">
    <w:name w:val="annotation text"/>
    <w:basedOn w:val="1"/>
    <w:qFormat/>
    <w:uiPriority w:val="0"/>
    <w:pPr>
      <w:jc w:val="left"/>
    </w:pPr>
  </w:style>
  <w:style w:type="paragraph" w:styleId="13">
    <w:name w:val="Body Text Indent"/>
    <w:basedOn w:val="1"/>
    <w:next w:val="14"/>
    <w:qFormat/>
    <w:uiPriority w:val="99"/>
    <w:pPr>
      <w:spacing w:line="540" w:lineRule="exact"/>
      <w:ind w:firstLine="480" w:firstLineChars="200"/>
    </w:pPr>
    <w:rPr>
      <w:sz w:val="24"/>
    </w:rPr>
  </w:style>
  <w:style w:type="paragraph" w:styleId="14">
    <w:name w:val="Body Text First Indent 2"/>
    <w:basedOn w:val="13"/>
    <w:next w:val="15"/>
    <w:qFormat/>
    <w:uiPriority w:val="0"/>
    <w:pPr>
      <w:spacing w:after="120" w:afterLines="0" w:line="240" w:lineRule="auto"/>
      <w:ind w:left="420" w:leftChars="200" w:firstLine="420"/>
    </w:pPr>
    <w:rPr>
      <w:sz w:val="21"/>
    </w:rPr>
  </w:style>
  <w:style w:type="paragraph" w:customStyle="1" w:styleId="15">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styleId="16">
    <w:name w:val="footer"/>
    <w:basedOn w:val="1"/>
    <w:unhideWhenUsed/>
    <w:qFormat/>
    <w:uiPriority w:val="99"/>
    <w:pPr>
      <w:tabs>
        <w:tab w:val="center" w:pos="4153"/>
        <w:tab w:val="right" w:pos="8306"/>
      </w:tabs>
      <w:snapToGrid w:val="0"/>
      <w:spacing w:line="240" w:lineRule="auto"/>
      <w:jc w:val="left"/>
    </w:pPr>
    <w:rPr>
      <w:sz w:val="18"/>
      <w:szCs w:val="18"/>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styleId="21">
    <w:name w:val="No Spacing"/>
    <w:basedOn w:val="1"/>
    <w:qFormat/>
    <w:uiPriority w:val="0"/>
    <w:pPr>
      <w:spacing w:line="240" w:lineRule="auto"/>
      <w:ind w:firstLine="0" w:firstLineChars="0"/>
      <w:jc w:val="center"/>
    </w:pPr>
    <w:rPr>
      <w:rFonts w:ascii="Times New Roman" w:hAnsi="Times New Roman" w:eastAsia="宋体" w:cs="Times New Roman"/>
      <w:szCs w:val="32"/>
    </w:rPr>
  </w:style>
  <w:style w:type="paragraph" w:customStyle="1" w:styleId="22">
    <w:name w:val="无间隔1"/>
    <w:qFormat/>
    <w:uiPriority w:val="0"/>
    <w:pPr>
      <w:widowControl w:val="0"/>
      <w:jc w:val="center"/>
    </w:pPr>
    <w:rPr>
      <w:rFonts w:ascii="Times New Roman" w:hAnsi="Times New Roman" w:eastAsia="宋体" w:cstheme="minorBidi"/>
      <w:kern w:val="2"/>
      <w:sz w:val="24"/>
      <w:szCs w:val="22"/>
      <w:lang w:val="en-US" w:eastAsia="zh-CN" w:bidi="ar-SA"/>
    </w:rPr>
  </w:style>
  <w:style w:type="character" w:customStyle="1" w:styleId="23">
    <w:name w:val="font21"/>
    <w:basedOn w:val="19"/>
    <w:qFormat/>
    <w:uiPriority w:val="0"/>
    <w:rPr>
      <w:rFonts w:hint="default" w:ascii="Calibri" w:hAnsi="Calibri" w:cs="Calibri"/>
      <w:color w:val="000000"/>
      <w:sz w:val="21"/>
      <w:szCs w:val="21"/>
      <w:u w:val="none"/>
    </w:rPr>
  </w:style>
  <w:style w:type="character" w:customStyle="1" w:styleId="24">
    <w:name w:val="font11"/>
    <w:basedOn w:val="19"/>
    <w:qFormat/>
    <w:uiPriority w:val="0"/>
    <w:rPr>
      <w:rFonts w:hint="eastAsia" w:ascii="宋体" w:hAnsi="宋体" w:eastAsia="宋体" w:cs="宋体"/>
      <w:color w:val="000000"/>
      <w:sz w:val="21"/>
      <w:szCs w:val="21"/>
      <w:u w:val="none"/>
    </w:rPr>
  </w:style>
  <w:style w:type="character" w:customStyle="1" w:styleId="25">
    <w:name w:val="font5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7738</Words>
  <Characters>7940</Characters>
  <Lines>0</Lines>
  <Paragraphs>0</Paragraphs>
  <TotalTime>5</TotalTime>
  <ScaleCrop>false</ScaleCrop>
  <LinksUpToDate>false</LinksUpToDate>
  <CharactersWithSpaces>7940</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2023-05-04T02:06:00Z</dcterms:created>
  <dc:creator>痒痒杨</dc:creator>
  <cp:lastModifiedBy>Kelsen</cp:lastModifiedBy>
  <dcterms:modified xsi:type="dcterms:W3CDTF">2025-11-26T07:16:00Z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95285608206047CFB98CFEF0C9817816</vt:lpwstr>
  </property>
  <property fmtid="{D5CDD505-2E9C-101B-9397-08002B2CF9AE}" pid="4" name="KSOTemplateDocerSaveRecord">
    <vt:lpwstr>eyJoZGlkIjoiMGJhYzMyMDlhZTg1YWZkY2ZiMTIzMTQ3OGY3NzU0ZmEiLCJ1c2VySWQiOiI2MTA2MDY2MTAifQ==</vt:lpwstr>
  </property>
</Properties>
</file>