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60E99">
      <w:pPr>
        <w:jc w:val="center"/>
        <w:rPr>
          <w:b/>
          <w:w w:val="80"/>
          <w:sz w:val="32"/>
          <w:szCs w:val="32"/>
        </w:rPr>
      </w:pPr>
    </w:p>
    <w:p w14:paraId="2A29DD1B">
      <w:pPr>
        <w:jc w:val="center"/>
        <w:rPr>
          <w:b/>
          <w:w w:val="80"/>
          <w:sz w:val="32"/>
          <w:szCs w:val="32"/>
        </w:rPr>
      </w:pPr>
    </w:p>
    <w:p w14:paraId="5499D2A7">
      <w:pPr>
        <w:jc w:val="center"/>
        <w:rPr>
          <w:b/>
          <w:w w:val="80"/>
          <w:sz w:val="32"/>
          <w:szCs w:val="32"/>
        </w:rPr>
      </w:pPr>
    </w:p>
    <w:p w14:paraId="447671EE">
      <w:pPr>
        <w:jc w:val="center"/>
        <w:rPr>
          <w:b/>
          <w:w w:val="80"/>
          <w:sz w:val="32"/>
          <w:szCs w:val="32"/>
        </w:rPr>
      </w:pPr>
    </w:p>
    <w:p w14:paraId="304ECD8F">
      <w:pPr>
        <w:jc w:val="center"/>
        <w:rPr>
          <w:b/>
          <w:w w:val="80"/>
          <w:sz w:val="32"/>
          <w:szCs w:val="32"/>
        </w:rPr>
      </w:pPr>
    </w:p>
    <w:p w14:paraId="700B6EA7">
      <w:pPr>
        <w:jc w:val="center"/>
        <w:rPr>
          <w:b/>
          <w:w w:val="80"/>
          <w:sz w:val="32"/>
          <w:szCs w:val="32"/>
        </w:rPr>
      </w:pPr>
      <w:r>
        <w:rPr>
          <w:rFonts w:hint="eastAsia"/>
          <w:b/>
          <w:w w:val="80"/>
          <w:sz w:val="32"/>
          <w:szCs w:val="32"/>
        </w:rPr>
        <w:t>北京市垂杨柳医院</w:t>
      </w:r>
    </w:p>
    <w:p w14:paraId="06364A40">
      <w:pPr>
        <w:jc w:val="center"/>
        <w:rPr>
          <w:b/>
          <w:w w:val="80"/>
          <w:sz w:val="32"/>
          <w:szCs w:val="32"/>
        </w:rPr>
      </w:pPr>
      <w:r>
        <w:rPr>
          <w:rFonts w:hint="eastAsia"/>
          <w:b/>
          <w:w w:val="80"/>
          <w:sz w:val="32"/>
          <w:szCs w:val="32"/>
        </w:rPr>
        <w:t>官网运维服务及二级等保（信息安全等级保护）技术服务项目</w:t>
      </w:r>
    </w:p>
    <w:p w14:paraId="05247E76">
      <w:pPr>
        <w:rPr>
          <w:bCs/>
          <w:w w:val="80"/>
          <w:sz w:val="48"/>
          <w:szCs w:val="48"/>
        </w:rPr>
      </w:pPr>
    </w:p>
    <w:p w14:paraId="1BC85267">
      <w:pPr>
        <w:widowControl/>
        <w:jc w:val="left"/>
        <w:rPr>
          <w:rFonts w:cs="Times New Roman" w:asciiTheme="minorEastAsia" w:hAnsiTheme="minorEastAsia" w:eastAsiaTheme="minorEastAsia"/>
          <w:b/>
          <w:kern w:val="2"/>
          <w:szCs w:val="24"/>
        </w:rPr>
      </w:pPr>
      <w:bookmarkStart w:id="0" w:name="_Toc118122003"/>
      <w:r>
        <w:rPr>
          <w:rFonts w:asciiTheme="minorEastAsia" w:hAnsiTheme="minorEastAsia" w:eastAsiaTheme="minorEastAsia"/>
          <w:szCs w:val="24"/>
        </w:rPr>
        <w:br w:type="page"/>
      </w:r>
    </w:p>
    <w:sdt>
      <w:sdtPr>
        <w:rPr>
          <w:rFonts w:ascii="宋体" w:hAnsi="宋体" w:eastAsia="宋体" w:cs="宋体"/>
          <w:color w:val="auto"/>
          <w:sz w:val="28"/>
          <w:szCs w:val="40"/>
          <w:lang w:val="zh-CN"/>
        </w:rPr>
        <w:id w:val="-19709467"/>
        <w:docPartObj>
          <w:docPartGallery w:val="Table of Contents"/>
          <w:docPartUnique/>
        </w:docPartObj>
      </w:sdtPr>
      <w:sdtEndPr>
        <w:rPr>
          <w:rFonts w:ascii="宋体" w:hAnsi="宋体" w:eastAsia="宋体" w:cs="宋体"/>
          <w:b/>
          <w:bCs/>
          <w:color w:val="auto"/>
          <w:sz w:val="28"/>
          <w:szCs w:val="40"/>
          <w:lang w:val="zh-CN"/>
        </w:rPr>
      </w:sdtEndPr>
      <w:sdtContent>
        <w:p w14:paraId="7BF15851">
          <w:pPr>
            <w:pStyle w:val="25"/>
            <w:jc w:val="center"/>
          </w:pPr>
          <w:r>
            <w:rPr>
              <w:lang w:val="zh-CN"/>
            </w:rPr>
            <w:t>目录</w:t>
          </w:r>
        </w:p>
        <w:p w14:paraId="6DB786E6">
          <w:pPr>
            <w:pStyle w:val="10"/>
            <w:tabs>
              <w:tab w:val="right" w:leader="dot" w:pos="8296"/>
            </w:tabs>
            <w:ind w:left="560"/>
            <w:rPr>
              <w:rFonts w:asciiTheme="minorHAnsi" w:hAnsiTheme="minorHAnsi" w:eastAsiaTheme="minorEastAsia" w:cstheme="minorBidi"/>
              <w:kern w:val="2"/>
              <w:sz w:val="21"/>
              <w:szCs w:val="22"/>
            </w:rPr>
          </w:pPr>
          <w:r>
            <w:fldChar w:fldCharType="begin"/>
          </w:r>
          <w:r>
            <w:instrText xml:space="preserve"> TOC \o "1-3" \h \z \u </w:instrText>
          </w:r>
          <w:r>
            <w:fldChar w:fldCharType="separate"/>
          </w:r>
          <w:r>
            <w:fldChar w:fldCharType="begin"/>
          </w:r>
          <w:r>
            <w:instrText xml:space="preserve"> HYPERLINK \l "_Toc130981254" </w:instrText>
          </w:r>
          <w:r>
            <w:fldChar w:fldCharType="separate"/>
          </w:r>
          <w:r>
            <w:rPr>
              <w:rStyle w:val="14"/>
              <w:rFonts w:asciiTheme="minorEastAsia" w:hAnsiTheme="minorEastAsia"/>
            </w:rPr>
            <w:t>一、服务期</w:t>
          </w:r>
          <w:r>
            <w:tab/>
          </w:r>
          <w:r>
            <w:fldChar w:fldCharType="begin"/>
          </w:r>
          <w:r>
            <w:instrText xml:space="preserve"> PAGEREF _Toc130981254 \h </w:instrText>
          </w:r>
          <w:r>
            <w:fldChar w:fldCharType="separate"/>
          </w:r>
          <w:r>
            <w:t>3</w:t>
          </w:r>
          <w:r>
            <w:fldChar w:fldCharType="end"/>
          </w:r>
          <w:r>
            <w:fldChar w:fldCharType="end"/>
          </w:r>
        </w:p>
        <w:p w14:paraId="34BF11AD">
          <w:pPr>
            <w:pStyle w:val="10"/>
            <w:tabs>
              <w:tab w:val="right" w:leader="dot" w:pos="8296"/>
            </w:tabs>
            <w:ind w:left="560"/>
            <w:rPr>
              <w:rFonts w:asciiTheme="minorHAnsi" w:hAnsiTheme="minorHAnsi" w:eastAsiaTheme="minorEastAsia" w:cstheme="minorBidi"/>
              <w:kern w:val="2"/>
              <w:sz w:val="21"/>
              <w:szCs w:val="22"/>
            </w:rPr>
          </w:pPr>
          <w:r>
            <w:fldChar w:fldCharType="begin"/>
          </w:r>
          <w:r>
            <w:instrText xml:space="preserve"> HYPERLINK \l "_Toc130981255" </w:instrText>
          </w:r>
          <w:r>
            <w:fldChar w:fldCharType="separate"/>
          </w:r>
          <w:r>
            <w:rPr>
              <w:rStyle w:val="14"/>
              <w:rFonts w:asciiTheme="minorEastAsia" w:hAnsiTheme="minorEastAsia"/>
            </w:rPr>
            <w:t>二、服务地点</w:t>
          </w:r>
          <w:r>
            <w:tab/>
          </w:r>
          <w:r>
            <w:fldChar w:fldCharType="begin"/>
          </w:r>
          <w:r>
            <w:instrText xml:space="preserve"> PAGEREF _Toc130981255 \h </w:instrText>
          </w:r>
          <w:r>
            <w:fldChar w:fldCharType="separate"/>
          </w:r>
          <w:r>
            <w:t>3</w:t>
          </w:r>
          <w:r>
            <w:fldChar w:fldCharType="end"/>
          </w:r>
          <w:r>
            <w:fldChar w:fldCharType="end"/>
          </w:r>
        </w:p>
        <w:p w14:paraId="2115F7E3">
          <w:pPr>
            <w:pStyle w:val="10"/>
            <w:tabs>
              <w:tab w:val="right" w:leader="dot" w:pos="8296"/>
            </w:tabs>
            <w:ind w:left="560"/>
            <w:rPr>
              <w:rFonts w:asciiTheme="minorHAnsi" w:hAnsiTheme="minorHAnsi" w:eastAsiaTheme="minorEastAsia" w:cstheme="minorBidi"/>
              <w:kern w:val="2"/>
              <w:sz w:val="21"/>
              <w:szCs w:val="22"/>
            </w:rPr>
          </w:pPr>
          <w:r>
            <w:fldChar w:fldCharType="begin"/>
          </w:r>
          <w:r>
            <w:instrText xml:space="preserve"> HYPERLINK \l "_Toc130981256" </w:instrText>
          </w:r>
          <w:r>
            <w:fldChar w:fldCharType="separate"/>
          </w:r>
          <w:r>
            <w:rPr>
              <w:rStyle w:val="14"/>
              <w:rFonts w:asciiTheme="minorEastAsia" w:hAnsiTheme="minorEastAsia"/>
            </w:rPr>
            <w:t>三、对投标人资质要求</w:t>
          </w:r>
          <w:r>
            <w:tab/>
          </w:r>
          <w:r>
            <w:fldChar w:fldCharType="begin"/>
          </w:r>
          <w:r>
            <w:instrText xml:space="preserve"> PAGEREF _Toc130981256 \h </w:instrText>
          </w:r>
          <w:r>
            <w:fldChar w:fldCharType="separate"/>
          </w:r>
          <w:r>
            <w:t>3</w:t>
          </w:r>
          <w:r>
            <w:fldChar w:fldCharType="end"/>
          </w:r>
          <w:r>
            <w:fldChar w:fldCharType="end"/>
          </w:r>
        </w:p>
        <w:p w14:paraId="62D3715E">
          <w:pPr>
            <w:pStyle w:val="10"/>
            <w:tabs>
              <w:tab w:val="right" w:leader="dot" w:pos="8296"/>
            </w:tabs>
            <w:ind w:left="560"/>
            <w:rPr>
              <w:rFonts w:asciiTheme="minorHAnsi" w:hAnsiTheme="minorHAnsi" w:eastAsiaTheme="minorEastAsia" w:cstheme="minorBidi"/>
              <w:kern w:val="2"/>
              <w:sz w:val="21"/>
              <w:szCs w:val="22"/>
            </w:rPr>
          </w:pPr>
          <w:r>
            <w:fldChar w:fldCharType="begin"/>
          </w:r>
          <w:r>
            <w:instrText xml:space="preserve"> HYPERLINK \l "_Toc130981257" </w:instrText>
          </w:r>
          <w:r>
            <w:fldChar w:fldCharType="separate"/>
          </w:r>
          <w:r>
            <w:rPr>
              <w:rStyle w:val="14"/>
              <w:rFonts w:asciiTheme="minorEastAsia" w:hAnsiTheme="minorEastAsia"/>
              <w:bCs/>
            </w:rPr>
            <w:t>四、投标文件份数及密封要求</w:t>
          </w:r>
          <w:r>
            <w:tab/>
          </w:r>
          <w:r>
            <w:fldChar w:fldCharType="begin"/>
          </w:r>
          <w:r>
            <w:instrText xml:space="preserve"> PAGEREF _Toc130981257 \h </w:instrText>
          </w:r>
          <w:r>
            <w:fldChar w:fldCharType="separate"/>
          </w:r>
          <w:r>
            <w:t>4</w:t>
          </w:r>
          <w:r>
            <w:fldChar w:fldCharType="end"/>
          </w:r>
          <w:r>
            <w:fldChar w:fldCharType="end"/>
          </w:r>
        </w:p>
        <w:p w14:paraId="64B0FBF0">
          <w:pPr>
            <w:pStyle w:val="10"/>
            <w:tabs>
              <w:tab w:val="right" w:leader="dot" w:pos="8296"/>
            </w:tabs>
            <w:ind w:left="560"/>
            <w:rPr>
              <w:rFonts w:asciiTheme="minorHAnsi" w:hAnsiTheme="minorHAnsi" w:eastAsiaTheme="minorEastAsia" w:cstheme="minorBidi"/>
              <w:kern w:val="2"/>
              <w:sz w:val="21"/>
              <w:szCs w:val="22"/>
            </w:rPr>
          </w:pPr>
          <w:r>
            <w:fldChar w:fldCharType="begin"/>
          </w:r>
          <w:r>
            <w:instrText xml:space="preserve"> HYPERLINK \l "_Toc130981258" </w:instrText>
          </w:r>
          <w:r>
            <w:fldChar w:fldCharType="separate"/>
          </w:r>
          <w:r>
            <w:rPr>
              <w:rStyle w:val="14"/>
              <w:rFonts w:asciiTheme="minorEastAsia" w:hAnsiTheme="minorEastAsia"/>
              <w:bCs/>
            </w:rPr>
            <w:t>五、项目需求</w:t>
          </w:r>
          <w:r>
            <w:tab/>
          </w:r>
          <w:r>
            <w:fldChar w:fldCharType="begin"/>
          </w:r>
          <w:r>
            <w:instrText xml:space="preserve"> PAGEREF _Toc130981258 \h </w:instrText>
          </w:r>
          <w:r>
            <w:fldChar w:fldCharType="separate"/>
          </w:r>
          <w:r>
            <w:t>4</w:t>
          </w:r>
          <w:r>
            <w:fldChar w:fldCharType="end"/>
          </w:r>
          <w:r>
            <w:fldChar w:fldCharType="end"/>
          </w:r>
        </w:p>
        <w:p w14:paraId="74BE0964">
          <w:pPr>
            <w:pStyle w:val="10"/>
            <w:tabs>
              <w:tab w:val="right" w:leader="dot" w:pos="8296"/>
            </w:tabs>
            <w:ind w:left="560"/>
            <w:rPr>
              <w:rFonts w:asciiTheme="minorHAnsi" w:hAnsiTheme="minorHAnsi" w:eastAsiaTheme="minorEastAsia" w:cstheme="minorBidi"/>
              <w:kern w:val="2"/>
              <w:sz w:val="21"/>
              <w:szCs w:val="22"/>
            </w:rPr>
          </w:pPr>
          <w:r>
            <w:fldChar w:fldCharType="begin"/>
          </w:r>
          <w:r>
            <w:instrText xml:space="preserve"> HYPERLINK \l "_Toc130981259" </w:instrText>
          </w:r>
          <w:r>
            <w:fldChar w:fldCharType="separate"/>
          </w:r>
          <w:r>
            <w:rPr>
              <w:rStyle w:val="14"/>
              <w:rFonts w:asciiTheme="minorEastAsia" w:hAnsiTheme="minorEastAsia"/>
            </w:rPr>
            <w:t>六、安全服务要求</w:t>
          </w:r>
          <w:r>
            <w:tab/>
          </w:r>
          <w:r>
            <w:fldChar w:fldCharType="begin"/>
          </w:r>
          <w:r>
            <w:instrText xml:space="preserve"> PAGEREF _Toc130981259 \h </w:instrText>
          </w:r>
          <w:r>
            <w:fldChar w:fldCharType="separate"/>
          </w:r>
          <w:r>
            <w:t>5</w:t>
          </w:r>
          <w:r>
            <w:fldChar w:fldCharType="end"/>
          </w:r>
          <w:r>
            <w:fldChar w:fldCharType="end"/>
          </w:r>
        </w:p>
        <w:p w14:paraId="397B2E0D">
          <w:pPr>
            <w:pStyle w:val="10"/>
            <w:tabs>
              <w:tab w:val="right" w:leader="dot" w:pos="8296"/>
            </w:tabs>
            <w:ind w:left="560"/>
            <w:rPr>
              <w:rFonts w:asciiTheme="minorHAnsi" w:hAnsiTheme="minorHAnsi" w:eastAsiaTheme="minorEastAsia" w:cstheme="minorBidi"/>
              <w:kern w:val="2"/>
              <w:sz w:val="21"/>
              <w:szCs w:val="22"/>
            </w:rPr>
          </w:pPr>
          <w:r>
            <w:fldChar w:fldCharType="begin"/>
          </w:r>
          <w:r>
            <w:instrText xml:space="preserve"> HYPERLINK \l "_Toc130981260" </w:instrText>
          </w:r>
          <w:r>
            <w:fldChar w:fldCharType="separate"/>
          </w:r>
          <w:r>
            <w:rPr>
              <w:rStyle w:val="14"/>
              <w:rFonts w:asciiTheme="minorEastAsia" w:hAnsiTheme="minorEastAsia"/>
            </w:rPr>
            <w:t>七、安全产品技术参数要求</w:t>
          </w:r>
          <w:r>
            <w:tab/>
          </w:r>
          <w:r>
            <w:fldChar w:fldCharType="begin"/>
          </w:r>
          <w:r>
            <w:instrText xml:space="preserve"> PAGEREF _Toc130981260 \h </w:instrText>
          </w:r>
          <w:r>
            <w:fldChar w:fldCharType="separate"/>
          </w:r>
          <w:r>
            <w:t>6</w:t>
          </w:r>
          <w:r>
            <w:fldChar w:fldCharType="end"/>
          </w:r>
          <w:r>
            <w:fldChar w:fldCharType="end"/>
          </w:r>
        </w:p>
        <w:p w14:paraId="5A2F4E46">
          <w:pPr>
            <w:pStyle w:val="10"/>
            <w:tabs>
              <w:tab w:val="right" w:leader="dot" w:pos="8296"/>
            </w:tabs>
            <w:ind w:left="560"/>
            <w:rPr>
              <w:rFonts w:asciiTheme="minorHAnsi" w:hAnsiTheme="minorHAnsi" w:eastAsiaTheme="minorEastAsia" w:cstheme="minorBidi"/>
              <w:kern w:val="2"/>
              <w:sz w:val="21"/>
              <w:szCs w:val="22"/>
            </w:rPr>
          </w:pPr>
          <w:r>
            <w:fldChar w:fldCharType="begin"/>
          </w:r>
          <w:r>
            <w:instrText xml:space="preserve"> HYPERLINK \l "_Toc130981269" </w:instrText>
          </w:r>
          <w:r>
            <w:fldChar w:fldCharType="separate"/>
          </w:r>
          <w:r>
            <w:rPr>
              <w:rStyle w:val="14"/>
              <w:rFonts w:asciiTheme="minorEastAsia" w:hAnsiTheme="minorEastAsia"/>
            </w:rPr>
            <w:t>八、安全产品配置与网站系统的适配性</w:t>
          </w:r>
          <w:r>
            <w:tab/>
          </w:r>
          <w:r>
            <w:fldChar w:fldCharType="begin"/>
          </w:r>
          <w:r>
            <w:instrText xml:space="preserve"> PAGEREF _Toc130981269 \h </w:instrText>
          </w:r>
          <w:r>
            <w:fldChar w:fldCharType="separate"/>
          </w:r>
          <w:r>
            <w:t>9</w:t>
          </w:r>
          <w:r>
            <w:fldChar w:fldCharType="end"/>
          </w:r>
          <w:r>
            <w:fldChar w:fldCharType="end"/>
          </w:r>
        </w:p>
        <w:p w14:paraId="63DAAA7F">
          <w:pPr>
            <w:pStyle w:val="10"/>
            <w:tabs>
              <w:tab w:val="right" w:leader="dot" w:pos="8296"/>
            </w:tabs>
            <w:ind w:left="560"/>
            <w:rPr>
              <w:rFonts w:asciiTheme="minorHAnsi" w:hAnsiTheme="minorHAnsi" w:eastAsiaTheme="minorEastAsia" w:cstheme="minorBidi"/>
              <w:kern w:val="2"/>
              <w:sz w:val="21"/>
              <w:szCs w:val="22"/>
            </w:rPr>
          </w:pPr>
          <w:r>
            <w:fldChar w:fldCharType="begin"/>
          </w:r>
          <w:r>
            <w:instrText xml:space="preserve"> HYPERLINK \l "_Toc130981270" </w:instrText>
          </w:r>
          <w:r>
            <w:fldChar w:fldCharType="separate"/>
          </w:r>
          <w:r>
            <w:rPr>
              <w:rStyle w:val="14"/>
              <w:rFonts w:asciiTheme="minorEastAsia" w:hAnsiTheme="minorEastAsia"/>
            </w:rPr>
            <w:t>九、远程标准服务要求</w:t>
          </w:r>
          <w:r>
            <w:tab/>
          </w:r>
          <w:r>
            <w:fldChar w:fldCharType="begin"/>
          </w:r>
          <w:r>
            <w:instrText xml:space="preserve"> PAGEREF _Toc130981270 \h </w:instrText>
          </w:r>
          <w:r>
            <w:fldChar w:fldCharType="separate"/>
          </w:r>
          <w:r>
            <w:t>9</w:t>
          </w:r>
          <w:r>
            <w:fldChar w:fldCharType="end"/>
          </w:r>
          <w:r>
            <w:fldChar w:fldCharType="end"/>
          </w:r>
        </w:p>
        <w:p w14:paraId="56CBA686">
          <w:pPr>
            <w:pStyle w:val="10"/>
            <w:tabs>
              <w:tab w:val="right" w:leader="dot" w:pos="8296"/>
            </w:tabs>
            <w:ind w:left="560"/>
            <w:rPr>
              <w:rFonts w:asciiTheme="minorHAnsi" w:hAnsiTheme="minorHAnsi" w:eastAsiaTheme="minorEastAsia" w:cstheme="minorBidi"/>
              <w:kern w:val="2"/>
              <w:sz w:val="21"/>
              <w:szCs w:val="22"/>
            </w:rPr>
          </w:pPr>
          <w:r>
            <w:fldChar w:fldCharType="begin"/>
          </w:r>
          <w:r>
            <w:instrText xml:space="preserve"> HYPERLINK \l "_Toc130981271" </w:instrText>
          </w:r>
          <w:r>
            <w:fldChar w:fldCharType="separate"/>
          </w:r>
          <w:r>
            <w:rPr>
              <w:rStyle w:val="14"/>
              <w:rFonts w:asciiTheme="minorEastAsia" w:hAnsiTheme="minorEastAsia"/>
            </w:rPr>
            <w:t>十、评分标准</w:t>
          </w:r>
          <w:r>
            <w:tab/>
          </w:r>
          <w:r>
            <w:fldChar w:fldCharType="begin"/>
          </w:r>
          <w:r>
            <w:instrText xml:space="preserve"> PAGEREF _Toc130981271 \h </w:instrText>
          </w:r>
          <w:r>
            <w:fldChar w:fldCharType="separate"/>
          </w:r>
          <w:r>
            <w:t>11</w:t>
          </w:r>
          <w:r>
            <w:fldChar w:fldCharType="end"/>
          </w:r>
          <w:r>
            <w:fldChar w:fldCharType="end"/>
          </w:r>
        </w:p>
        <w:p w14:paraId="74D60632">
          <w:r>
            <w:rPr>
              <w:b/>
              <w:bCs/>
              <w:lang w:val="zh-CN"/>
            </w:rPr>
            <w:fldChar w:fldCharType="end"/>
          </w:r>
        </w:p>
      </w:sdtContent>
    </w:sdt>
    <w:p w14:paraId="0E92ABF2">
      <w:pPr>
        <w:widowControl/>
        <w:jc w:val="left"/>
        <w:rPr>
          <w:rFonts w:cs="Times New Roman" w:asciiTheme="minorEastAsia" w:hAnsiTheme="minorEastAsia" w:eastAsiaTheme="minorEastAsia"/>
          <w:b/>
          <w:kern w:val="2"/>
          <w:szCs w:val="24"/>
        </w:rPr>
      </w:pPr>
      <w:r>
        <w:rPr>
          <w:rFonts w:asciiTheme="minorEastAsia" w:hAnsiTheme="minorEastAsia" w:eastAsiaTheme="minorEastAsia"/>
          <w:szCs w:val="24"/>
        </w:rPr>
        <w:br w:type="page"/>
      </w:r>
    </w:p>
    <w:p w14:paraId="13DF075A">
      <w:pPr>
        <w:pStyle w:val="3"/>
        <w:rPr>
          <w:rFonts w:asciiTheme="minorEastAsia" w:hAnsiTheme="minorEastAsia" w:eastAsiaTheme="minorEastAsia"/>
          <w:sz w:val="28"/>
          <w:szCs w:val="24"/>
        </w:rPr>
      </w:pPr>
      <w:bookmarkStart w:id="1" w:name="_Toc130981254"/>
      <w:r>
        <w:rPr>
          <w:rFonts w:hint="eastAsia" w:asciiTheme="minorEastAsia" w:hAnsiTheme="minorEastAsia" w:eastAsiaTheme="minorEastAsia"/>
          <w:sz w:val="28"/>
          <w:szCs w:val="24"/>
        </w:rPr>
        <w:t>一、服务期</w:t>
      </w:r>
      <w:bookmarkEnd w:id="0"/>
      <w:bookmarkEnd w:id="1"/>
    </w:p>
    <w:p w14:paraId="6E29C369">
      <w:pPr>
        <w:rPr>
          <w:rFonts w:asciiTheme="minorEastAsia" w:hAnsiTheme="minorEastAsia"/>
          <w:sz w:val="24"/>
        </w:rPr>
      </w:pPr>
      <w:r>
        <w:rPr>
          <w:rFonts w:asciiTheme="minorEastAsia" w:hAnsiTheme="minorEastAsia"/>
          <w:szCs w:val="24"/>
        </w:rPr>
        <w:t xml:space="preserve"> 1</w:t>
      </w:r>
      <w:r>
        <w:rPr>
          <w:rFonts w:hint="eastAsia" w:asciiTheme="minorEastAsia" w:hAnsiTheme="minorEastAsia"/>
          <w:szCs w:val="24"/>
        </w:rPr>
        <w:t>年</w:t>
      </w:r>
    </w:p>
    <w:p w14:paraId="533A8A6E">
      <w:pPr>
        <w:pStyle w:val="3"/>
        <w:rPr>
          <w:rFonts w:asciiTheme="minorEastAsia" w:hAnsiTheme="minorEastAsia" w:eastAsiaTheme="minorEastAsia"/>
          <w:sz w:val="28"/>
          <w:szCs w:val="24"/>
        </w:rPr>
      </w:pPr>
      <w:bookmarkStart w:id="2" w:name="_Toc130981255"/>
      <w:bookmarkStart w:id="3" w:name="_Toc118122004"/>
      <w:r>
        <w:rPr>
          <w:rFonts w:hint="eastAsia" w:asciiTheme="minorEastAsia" w:hAnsiTheme="minorEastAsia" w:eastAsiaTheme="minorEastAsia"/>
          <w:sz w:val="28"/>
          <w:szCs w:val="24"/>
        </w:rPr>
        <w:t>二、服务地点</w:t>
      </w:r>
      <w:bookmarkEnd w:id="2"/>
      <w:bookmarkEnd w:id="3"/>
    </w:p>
    <w:p w14:paraId="3243BB36">
      <w:pPr>
        <w:rPr>
          <w:rFonts w:asciiTheme="minorEastAsia" w:hAnsiTheme="minorEastAsia"/>
          <w:bCs/>
          <w:sz w:val="24"/>
          <w:szCs w:val="24"/>
        </w:rPr>
      </w:pPr>
      <w:bookmarkStart w:id="4" w:name="_Toc118122005"/>
      <w:r>
        <w:rPr>
          <w:rFonts w:hint="eastAsia" w:asciiTheme="minorEastAsia" w:hAnsiTheme="minorEastAsia"/>
          <w:bCs/>
          <w:sz w:val="24"/>
          <w:szCs w:val="24"/>
        </w:rPr>
        <w:t>北京市垂杨柳医院</w:t>
      </w:r>
    </w:p>
    <w:p w14:paraId="5746B9C3">
      <w:pPr>
        <w:pStyle w:val="3"/>
        <w:rPr>
          <w:rFonts w:asciiTheme="minorEastAsia" w:hAnsiTheme="minorEastAsia" w:eastAsiaTheme="minorEastAsia"/>
          <w:sz w:val="28"/>
          <w:szCs w:val="24"/>
        </w:rPr>
      </w:pPr>
      <w:bookmarkStart w:id="5" w:name="_Toc130981256"/>
      <w:r>
        <w:rPr>
          <w:rFonts w:hint="eastAsia" w:asciiTheme="minorEastAsia" w:hAnsiTheme="minorEastAsia" w:eastAsiaTheme="minorEastAsia"/>
          <w:sz w:val="28"/>
          <w:szCs w:val="24"/>
        </w:rPr>
        <w:t>三、对投标人资质要求</w:t>
      </w:r>
      <w:bookmarkEnd w:id="4"/>
      <w:bookmarkEnd w:id="5"/>
    </w:p>
    <w:p w14:paraId="72B08AF9">
      <w:pPr>
        <w:snapToGrid w:val="0"/>
        <w:spacing w:line="360" w:lineRule="auto"/>
        <w:ind w:firstLine="480" w:firstLineChars="200"/>
        <w:rPr>
          <w:rFonts w:asciiTheme="minorEastAsia" w:hAnsiTheme="minorEastAsia"/>
          <w:sz w:val="24"/>
        </w:rPr>
      </w:pPr>
      <w:bookmarkStart w:id="6" w:name="_Toc118122007"/>
      <w:r>
        <w:rPr>
          <w:rFonts w:asciiTheme="minorEastAsia" w:hAnsiTheme="minorEastAsia"/>
          <w:sz w:val="24"/>
        </w:rPr>
        <w:t>在中华人民共和国境内合法注册能够独立承担民事责任的法人、其他组织或者自然人；</w:t>
      </w:r>
    </w:p>
    <w:p w14:paraId="79D06F22">
      <w:pPr>
        <w:numPr>
          <w:ilvl w:val="0"/>
          <w:numId w:val="1"/>
        </w:numPr>
        <w:tabs>
          <w:tab w:val="left" w:pos="1134"/>
        </w:tabs>
        <w:snapToGrid w:val="0"/>
        <w:spacing w:line="360" w:lineRule="auto"/>
        <w:rPr>
          <w:rFonts w:asciiTheme="minorEastAsia" w:hAnsiTheme="minorEastAsia"/>
          <w:sz w:val="24"/>
        </w:rPr>
      </w:pPr>
      <w:r>
        <w:rPr>
          <w:rFonts w:asciiTheme="minorEastAsia" w:hAnsiTheme="minorEastAsia"/>
          <w:sz w:val="24"/>
        </w:rPr>
        <w:t>满足《中华人民共和国政府采购法》第二十二条要求，包括：</w:t>
      </w:r>
    </w:p>
    <w:p w14:paraId="4C447525">
      <w:pPr>
        <w:pStyle w:val="20"/>
        <w:numPr>
          <w:ilvl w:val="0"/>
          <w:numId w:val="2"/>
        </w:numPr>
        <w:snapToGrid w:val="0"/>
        <w:spacing w:line="360" w:lineRule="auto"/>
        <w:ind w:firstLineChars="0"/>
        <w:rPr>
          <w:rFonts w:asciiTheme="minorEastAsia" w:hAnsiTheme="minorEastAsia"/>
          <w:sz w:val="24"/>
        </w:rPr>
      </w:pPr>
      <w:r>
        <w:rPr>
          <w:rFonts w:asciiTheme="minorEastAsia" w:hAnsiTheme="minorEastAsia"/>
          <w:sz w:val="24"/>
        </w:rPr>
        <w:t>具有独立承担民事责任的能力；</w:t>
      </w:r>
    </w:p>
    <w:p w14:paraId="794EE7C7">
      <w:pPr>
        <w:pStyle w:val="20"/>
        <w:numPr>
          <w:ilvl w:val="0"/>
          <w:numId w:val="2"/>
        </w:numPr>
        <w:snapToGrid w:val="0"/>
        <w:spacing w:line="360" w:lineRule="auto"/>
        <w:ind w:firstLineChars="0"/>
        <w:rPr>
          <w:rFonts w:asciiTheme="minorEastAsia" w:hAnsiTheme="minorEastAsia"/>
          <w:sz w:val="24"/>
        </w:rPr>
      </w:pPr>
      <w:r>
        <w:rPr>
          <w:rFonts w:asciiTheme="minorEastAsia" w:hAnsiTheme="minorEastAsia"/>
          <w:sz w:val="24"/>
        </w:rPr>
        <w:t>符合法律、法规规定的其他条件。</w:t>
      </w:r>
    </w:p>
    <w:p w14:paraId="72DB4418">
      <w:pPr>
        <w:numPr>
          <w:ilvl w:val="0"/>
          <w:numId w:val="1"/>
        </w:numPr>
        <w:tabs>
          <w:tab w:val="left" w:pos="1134"/>
        </w:tabs>
        <w:snapToGrid w:val="0"/>
        <w:spacing w:line="360" w:lineRule="auto"/>
        <w:rPr>
          <w:rFonts w:asciiTheme="minorEastAsia" w:hAnsiTheme="minorEastAsia"/>
          <w:sz w:val="24"/>
        </w:rPr>
      </w:pPr>
      <w:r>
        <w:rPr>
          <w:rFonts w:hint="eastAsia" w:asciiTheme="minorEastAsia" w:hAnsiTheme="minorEastAsia"/>
          <w:sz w:val="24"/>
          <w:szCs w:val="24"/>
        </w:rPr>
        <w:t>参加本次采购活动前三年内，在经营活动中没有违法违规记录：提供参加采购活动前三年内，在经营活动中没有重大违法犯罪记录的书面声明（自行声明）；</w:t>
      </w:r>
    </w:p>
    <w:p w14:paraId="4E80F1F4">
      <w:pPr>
        <w:tabs>
          <w:tab w:val="left" w:pos="1134"/>
        </w:tabs>
        <w:snapToGrid w:val="0"/>
        <w:spacing w:line="360" w:lineRule="auto"/>
        <w:ind w:left="510"/>
        <w:rPr>
          <w:rFonts w:hint="eastAsia" w:asciiTheme="minorEastAsia" w:hAnsiTheme="minorEastAsia"/>
          <w:sz w:val="24"/>
        </w:rPr>
      </w:pPr>
      <w:r>
        <w:rPr>
          <w:rFonts w:hint="eastAsia" w:asciiTheme="minorEastAsia" w:hAnsiTheme="minorEastAsia"/>
          <w:sz w:val="24"/>
        </w:rPr>
        <w:t>（3）参加本次采购活动前三年内被列入失信被执行人、重大税收违法案件当事人名单、政府采购严重违法失信行为记录名单且还在执行期的供应商，拒绝其参与本次采购活动。信用记录查询渠道：</w:t>
      </w:r>
    </w:p>
    <w:p w14:paraId="307D3E6B">
      <w:pPr>
        <w:tabs>
          <w:tab w:val="left" w:pos="1134"/>
        </w:tabs>
        <w:snapToGrid w:val="0"/>
        <w:spacing w:line="360" w:lineRule="auto"/>
        <w:ind w:left="510"/>
        <w:rPr>
          <w:rFonts w:asciiTheme="minorEastAsia" w:hAnsiTheme="minorEastAsia"/>
          <w:sz w:val="24"/>
        </w:rPr>
      </w:pPr>
      <w:r>
        <w:rPr>
          <w:rFonts w:asciiTheme="minorEastAsia" w:hAnsiTheme="minorEastAsia"/>
          <w:sz w:val="24"/>
        </w:rPr>
        <w:t>1）“信用中国”网站(www.creditchina.gov.cn)信用信息报告生成时间为</w:t>
      </w:r>
      <w:r>
        <w:rPr>
          <w:rFonts w:hint="eastAsia" w:asciiTheme="minorEastAsia" w:hAnsiTheme="minorEastAsia"/>
          <w:sz w:val="24"/>
        </w:rPr>
        <w:t>开标</w:t>
      </w:r>
      <w:r>
        <w:rPr>
          <w:rFonts w:asciiTheme="minorEastAsia" w:hAnsiTheme="minorEastAsia"/>
          <w:sz w:val="24"/>
        </w:rPr>
        <w:t>之日前</w:t>
      </w:r>
      <w:r>
        <w:rPr>
          <w:rFonts w:hint="eastAsia" w:asciiTheme="minorEastAsia" w:hAnsiTheme="minorEastAsia"/>
          <w:sz w:val="24"/>
        </w:rPr>
        <w:t>五</w:t>
      </w:r>
      <w:r>
        <w:rPr>
          <w:rFonts w:asciiTheme="minorEastAsia" w:hAnsiTheme="minorEastAsia"/>
          <w:sz w:val="24"/>
        </w:rPr>
        <w:t>天的任意时间；2）</w:t>
      </w:r>
      <w:r>
        <w:rPr>
          <w:rFonts w:hint="eastAsia" w:asciiTheme="minorEastAsia" w:hAnsiTheme="minorEastAsia"/>
          <w:sz w:val="24"/>
        </w:rPr>
        <w:t>开标</w:t>
      </w:r>
      <w:r>
        <w:rPr>
          <w:rFonts w:asciiTheme="minorEastAsia" w:hAnsiTheme="minorEastAsia"/>
          <w:sz w:val="24"/>
        </w:rPr>
        <w:t>之日前</w:t>
      </w:r>
      <w:r>
        <w:rPr>
          <w:rFonts w:hint="eastAsia" w:asciiTheme="minorEastAsia" w:hAnsiTheme="minorEastAsia"/>
          <w:sz w:val="24"/>
        </w:rPr>
        <w:t>五</w:t>
      </w:r>
      <w:r>
        <w:rPr>
          <w:rFonts w:asciiTheme="minorEastAsia" w:hAnsiTheme="minorEastAsia"/>
          <w:sz w:val="24"/>
        </w:rPr>
        <w:t>天的任意时间。供应商须提供“信用中国”信用信息报告及中国政府采购网查询记录截图并加盖公章，作为信用信息查询记录和证据编入响应文件。</w:t>
      </w:r>
    </w:p>
    <w:p w14:paraId="2E62C5C2">
      <w:pPr>
        <w:tabs>
          <w:tab w:val="left" w:pos="1134"/>
        </w:tabs>
        <w:snapToGrid w:val="0"/>
        <w:spacing w:line="360" w:lineRule="auto"/>
        <w:ind w:left="510"/>
        <w:rPr>
          <w:rFonts w:asciiTheme="minorEastAsia" w:hAnsiTheme="minorEastAsia"/>
          <w:sz w:val="24"/>
        </w:rPr>
      </w:pPr>
      <w:r>
        <w:rPr>
          <w:rFonts w:hint="eastAsia" w:asciiTheme="minorEastAsia" w:hAnsiTheme="minorEastAsia"/>
          <w:sz w:val="24"/>
        </w:rPr>
        <w:t>（4）本次招标不接受联合体投标。</w:t>
      </w:r>
    </w:p>
    <w:p w14:paraId="63839AAE">
      <w:pPr>
        <w:tabs>
          <w:tab w:val="left" w:pos="1134"/>
        </w:tabs>
        <w:snapToGrid w:val="0"/>
        <w:spacing w:line="360" w:lineRule="auto"/>
        <w:ind w:left="510"/>
        <w:rPr>
          <w:rFonts w:asciiTheme="minorEastAsia" w:hAnsiTheme="minorEastAsia"/>
          <w:sz w:val="24"/>
        </w:rPr>
      </w:pPr>
      <w:r>
        <w:rPr>
          <w:rFonts w:hint="eastAsia" w:asciiTheme="minorEastAsia"/>
          <w:color w:val="000000"/>
          <w:sz w:val="24"/>
        </w:rPr>
        <w:t>（</w:t>
      </w:r>
      <w:r>
        <w:rPr>
          <w:rFonts w:asciiTheme="minorEastAsia"/>
          <w:color w:val="000000"/>
          <w:sz w:val="24"/>
        </w:rPr>
        <w:t>5</w:t>
      </w:r>
      <w:r>
        <w:rPr>
          <w:rFonts w:hint="eastAsia" w:asciiTheme="minorEastAsia"/>
          <w:color w:val="000000"/>
          <w:sz w:val="24"/>
        </w:rPr>
        <w:t>）</w:t>
      </w:r>
      <w:bookmarkStart w:id="7" w:name="_Hlk103527105"/>
      <w:r>
        <w:rPr>
          <w:rFonts w:hint="eastAsia" w:asciiTheme="minorEastAsia" w:hAnsiTheme="minorEastAsia"/>
          <w:sz w:val="24"/>
        </w:rPr>
        <w:t>投标人须由法定代表人或其授权人的委托代理人参加投标，投标人若为法人投标，须提供法定代表人身份证明书（需由法定代表人签字或盖章）和法定代表人身份证原件；投标人若为被授权人投标，须提供法人代表授权书（需由法定代表人签字或盖章）和被授权人身份证原件。</w:t>
      </w:r>
      <w:bookmarkEnd w:id="7"/>
    </w:p>
    <w:p w14:paraId="6E295136">
      <w:pPr>
        <w:pStyle w:val="3"/>
        <w:rPr>
          <w:rFonts w:asciiTheme="minorEastAsia" w:hAnsiTheme="minorEastAsia" w:eastAsiaTheme="minorEastAsia"/>
          <w:bCs/>
          <w:sz w:val="28"/>
          <w:szCs w:val="28"/>
        </w:rPr>
      </w:pPr>
      <w:bookmarkStart w:id="8" w:name="_Toc130981257"/>
      <w:r>
        <w:rPr>
          <w:rFonts w:hint="eastAsia" w:asciiTheme="minorEastAsia" w:hAnsiTheme="minorEastAsia" w:eastAsiaTheme="minorEastAsia"/>
          <w:bCs/>
          <w:sz w:val="28"/>
          <w:szCs w:val="28"/>
        </w:rPr>
        <w:t>四、投标文件份数及密封要求</w:t>
      </w:r>
      <w:bookmarkEnd w:id="8"/>
    </w:p>
    <w:p w14:paraId="42BA29F3">
      <w:pPr>
        <w:tabs>
          <w:tab w:val="left" w:pos="1134"/>
        </w:tabs>
        <w:snapToGrid w:val="0"/>
        <w:spacing w:line="360" w:lineRule="auto"/>
        <w:ind w:left="510"/>
        <w:rPr>
          <w:rFonts w:asciiTheme="minorEastAsia" w:hAnsiTheme="minorEastAsia"/>
          <w:sz w:val="24"/>
        </w:rPr>
      </w:pPr>
      <w:r>
        <w:rPr>
          <w:rFonts w:hint="eastAsia" w:asciiTheme="minorEastAsia" w:hAnsiTheme="minorEastAsia"/>
          <w:sz w:val="24"/>
        </w:rPr>
        <w:t>（</w:t>
      </w:r>
      <w:r>
        <w:rPr>
          <w:rFonts w:asciiTheme="minorEastAsia" w:hAnsiTheme="minorEastAsia"/>
          <w:sz w:val="24"/>
        </w:rPr>
        <w:t>1）纸质正本文件的份数：1份</w:t>
      </w:r>
      <w:r>
        <w:rPr>
          <w:rFonts w:hint="eastAsia" w:asciiTheme="minorEastAsia" w:hAnsiTheme="minorEastAsia"/>
          <w:sz w:val="24"/>
        </w:rPr>
        <w:t>；</w:t>
      </w:r>
    </w:p>
    <w:p w14:paraId="1F3D74B2">
      <w:pPr>
        <w:tabs>
          <w:tab w:val="left" w:pos="1134"/>
        </w:tabs>
        <w:snapToGrid w:val="0"/>
        <w:spacing w:line="360" w:lineRule="auto"/>
        <w:ind w:left="510"/>
        <w:rPr>
          <w:rFonts w:asciiTheme="minorEastAsia" w:hAnsiTheme="minorEastAsia"/>
          <w:sz w:val="24"/>
        </w:rPr>
      </w:pPr>
      <w:r>
        <w:rPr>
          <w:rFonts w:hint="eastAsia" w:asciiTheme="minorEastAsia" w:hAnsiTheme="minorEastAsia"/>
          <w:sz w:val="24"/>
        </w:rPr>
        <w:t>（</w:t>
      </w:r>
      <w:r>
        <w:rPr>
          <w:rFonts w:asciiTheme="minorEastAsia" w:hAnsiTheme="minorEastAsia"/>
          <w:sz w:val="24"/>
        </w:rPr>
        <w:t>2）纸质副本文件的份数：2份</w:t>
      </w:r>
      <w:r>
        <w:rPr>
          <w:rFonts w:hint="eastAsia" w:asciiTheme="minorEastAsia" w:hAnsiTheme="minorEastAsia"/>
          <w:sz w:val="24"/>
        </w:rPr>
        <w:t>；</w:t>
      </w:r>
    </w:p>
    <w:p w14:paraId="6A84C42F">
      <w:pPr>
        <w:tabs>
          <w:tab w:val="left" w:pos="1134"/>
        </w:tabs>
        <w:snapToGrid w:val="0"/>
        <w:spacing w:line="360" w:lineRule="auto"/>
        <w:ind w:left="510"/>
        <w:rPr>
          <w:rFonts w:asciiTheme="minorEastAsia" w:hAnsiTheme="minorEastAsia"/>
          <w:sz w:val="24"/>
        </w:rPr>
      </w:pPr>
      <w:r>
        <w:rPr>
          <w:rFonts w:hint="eastAsia" w:asciiTheme="minorEastAsia" w:hAnsiTheme="minorEastAsia"/>
          <w:sz w:val="24"/>
        </w:rPr>
        <w:t>（3）投标文件须胶装并密封提交，密封包装封口处应有供应商授权代表签字或单位公章。</w:t>
      </w:r>
    </w:p>
    <w:p w14:paraId="4E3D1F58">
      <w:pPr>
        <w:pStyle w:val="3"/>
        <w:rPr>
          <w:rFonts w:asciiTheme="minorEastAsia" w:hAnsiTheme="minorEastAsia" w:eastAsiaTheme="minorEastAsia"/>
          <w:bCs/>
          <w:sz w:val="28"/>
          <w:szCs w:val="28"/>
        </w:rPr>
      </w:pPr>
      <w:bookmarkStart w:id="9" w:name="_Toc130981258"/>
      <w:r>
        <w:rPr>
          <w:rFonts w:hint="eastAsia" w:asciiTheme="minorEastAsia" w:hAnsiTheme="minorEastAsia" w:eastAsiaTheme="minorEastAsia"/>
          <w:bCs/>
          <w:sz w:val="28"/>
          <w:szCs w:val="28"/>
        </w:rPr>
        <w:t>五、项目需求</w:t>
      </w:r>
      <w:bookmarkEnd w:id="6"/>
      <w:bookmarkEnd w:id="9"/>
    </w:p>
    <w:p w14:paraId="19E862C4">
      <w:pPr>
        <w:adjustRightInd w:val="0"/>
        <w:snapToGrid w:val="0"/>
        <w:spacing w:after="156" w:afterLines="50" w:line="500" w:lineRule="exact"/>
        <w:ind w:firstLine="480" w:firstLineChars="200"/>
        <w:jc w:val="left"/>
        <w:rPr>
          <w:rFonts w:asciiTheme="minorEastAsia" w:hAnsiTheme="minorEastAsia"/>
          <w:sz w:val="24"/>
        </w:rPr>
      </w:pPr>
      <w:r>
        <w:rPr>
          <w:rFonts w:hint="eastAsia" w:asciiTheme="minorEastAsia" w:hAnsiTheme="minorEastAsia"/>
          <w:sz w:val="24"/>
        </w:rPr>
        <w:t>北京市垂杨柳医院网站运行于</w:t>
      </w:r>
      <w:r>
        <w:rPr>
          <w:rFonts w:hint="eastAsia" w:asciiTheme="minorEastAsia" w:hAnsiTheme="minorEastAsia"/>
          <w:sz w:val="24"/>
          <w:lang w:val="en-US" w:eastAsia="zh-CN"/>
        </w:rPr>
        <w:t>天翼云</w:t>
      </w:r>
      <w:r>
        <w:rPr>
          <w:rFonts w:hint="eastAsia" w:asciiTheme="minorEastAsia" w:hAnsiTheme="minorEastAsia"/>
          <w:sz w:val="24"/>
        </w:rPr>
        <w:t>，为保证医院网站安全运行，通过本项目采购网站安全产品及网站安全运维年服务以及远程标准服务包（含内容维护、设计制作、安全支持、技术咨询的全面服务）、网站二级等保测评服务，主要包括如下内容：</w:t>
      </w:r>
    </w:p>
    <w:p w14:paraId="57DE56DD">
      <w:pPr>
        <w:adjustRightInd w:val="0"/>
        <w:snapToGrid w:val="0"/>
        <w:spacing w:after="156" w:afterLines="50" w:line="500" w:lineRule="exact"/>
        <w:ind w:firstLine="480" w:firstLineChars="200"/>
        <w:jc w:val="left"/>
        <w:rPr>
          <w:rFonts w:asciiTheme="minorEastAsia" w:hAnsiTheme="minorEastAsia"/>
          <w:sz w:val="24"/>
          <w:szCs w:val="24"/>
        </w:rPr>
      </w:pPr>
    </w:p>
    <w:tbl>
      <w:tblPr>
        <w:tblStyle w:val="11"/>
        <w:tblW w:w="8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890"/>
        <w:gridCol w:w="1773"/>
      </w:tblGrid>
      <w:tr w14:paraId="3D58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46" w:type="dxa"/>
            <w:vAlign w:val="center"/>
          </w:tcPr>
          <w:p w14:paraId="0321ACFC">
            <w:pPr>
              <w:spacing w:line="500" w:lineRule="exact"/>
              <w:jc w:val="center"/>
              <w:rPr>
                <w:rFonts w:asciiTheme="minorEastAsia" w:hAnsiTheme="minorEastAsia"/>
                <w:b/>
                <w:bCs/>
                <w:sz w:val="24"/>
              </w:rPr>
            </w:pPr>
            <w:r>
              <w:rPr>
                <w:rFonts w:hint="eastAsia" w:asciiTheme="minorEastAsia" w:hAnsiTheme="minorEastAsia"/>
                <w:b/>
                <w:bCs/>
                <w:sz w:val="24"/>
              </w:rPr>
              <w:t>序号</w:t>
            </w:r>
          </w:p>
        </w:tc>
        <w:tc>
          <w:tcPr>
            <w:tcW w:w="5890" w:type="dxa"/>
            <w:vAlign w:val="center"/>
          </w:tcPr>
          <w:p w14:paraId="3DF5E05E">
            <w:pPr>
              <w:spacing w:line="500" w:lineRule="exact"/>
              <w:jc w:val="center"/>
              <w:rPr>
                <w:rFonts w:asciiTheme="minorEastAsia" w:hAnsiTheme="minorEastAsia"/>
                <w:b/>
                <w:bCs/>
                <w:sz w:val="24"/>
              </w:rPr>
            </w:pPr>
            <w:r>
              <w:rPr>
                <w:rFonts w:hint="eastAsia" w:asciiTheme="minorEastAsia" w:hAnsiTheme="minorEastAsia"/>
                <w:b/>
                <w:bCs/>
                <w:sz w:val="24"/>
              </w:rPr>
              <w:t>产品名称</w:t>
            </w:r>
          </w:p>
        </w:tc>
        <w:tc>
          <w:tcPr>
            <w:tcW w:w="1773" w:type="dxa"/>
            <w:vAlign w:val="center"/>
          </w:tcPr>
          <w:p w14:paraId="1CAD3F0F">
            <w:pPr>
              <w:spacing w:line="500" w:lineRule="exact"/>
              <w:jc w:val="center"/>
              <w:rPr>
                <w:rFonts w:asciiTheme="minorEastAsia" w:hAnsiTheme="minorEastAsia"/>
                <w:b/>
                <w:bCs/>
                <w:sz w:val="24"/>
              </w:rPr>
            </w:pPr>
            <w:r>
              <w:rPr>
                <w:rFonts w:hint="eastAsia" w:asciiTheme="minorEastAsia" w:hAnsiTheme="minorEastAsia"/>
                <w:b/>
                <w:bCs/>
                <w:sz w:val="24"/>
              </w:rPr>
              <w:t>服务期限</w:t>
            </w:r>
          </w:p>
        </w:tc>
      </w:tr>
      <w:tr w14:paraId="51D2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6" w:type="dxa"/>
            <w:vAlign w:val="center"/>
          </w:tcPr>
          <w:p w14:paraId="7E75B4C5">
            <w:pPr>
              <w:spacing w:line="500" w:lineRule="exact"/>
              <w:jc w:val="center"/>
              <w:rPr>
                <w:rFonts w:hint="eastAsia" w:eastAsia="宋体" w:asciiTheme="minorEastAsia" w:hAnsiTheme="minorEastAsia"/>
                <w:sz w:val="24"/>
                <w:lang w:eastAsia="zh-CN"/>
              </w:rPr>
            </w:pPr>
            <w:r>
              <w:rPr>
                <w:rFonts w:hint="eastAsia" w:asciiTheme="minorEastAsia" w:hAnsiTheme="minorEastAsia"/>
                <w:sz w:val="24"/>
                <w:lang w:val="en-US" w:eastAsia="zh-CN"/>
              </w:rPr>
              <w:t>1</w:t>
            </w:r>
          </w:p>
        </w:tc>
        <w:tc>
          <w:tcPr>
            <w:tcW w:w="5890" w:type="dxa"/>
            <w:vAlign w:val="center"/>
          </w:tcPr>
          <w:p w14:paraId="04A4E14E">
            <w:pPr>
              <w:spacing w:line="500" w:lineRule="exact"/>
              <w:jc w:val="center"/>
              <w:rPr>
                <w:rFonts w:asciiTheme="minorEastAsia" w:hAnsiTheme="minorEastAsia"/>
                <w:sz w:val="24"/>
              </w:rPr>
            </w:pPr>
            <w:r>
              <w:rPr>
                <w:rFonts w:hint="eastAsia" w:asciiTheme="minorEastAsia" w:hAnsiTheme="minorEastAsia"/>
                <w:sz w:val="24"/>
              </w:rPr>
              <w:t>企业主机安全（</w:t>
            </w:r>
            <w:r>
              <w:rPr>
                <w:rFonts w:asciiTheme="minorEastAsia" w:hAnsiTheme="minorEastAsia"/>
                <w:sz w:val="24"/>
              </w:rPr>
              <w:t>HSS</w:t>
            </w:r>
            <w:r>
              <w:rPr>
                <w:rFonts w:hint="eastAsia" w:asciiTheme="minorEastAsia" w:hAnsiTheme="minorEastAsia"/>
                <w:sz w:val="24"/>
              </w:rPr>
              <w:t>）网页防篡改版</w:t>
            </w:r>
          </w:p>
        </w:tc>
        <w:tc>
          <w:tcPr>
            <w:tcW w:w="1773" w:type="dxa"/>
            <w:vAlign w:val="center"/>
          </w:tcPr>
          <w:p w14:paraId="44642B01">
            <w:pPr>
              <w:spacing w:line="500" w:lineRule="exact"/>
              <w:jc w:val="center"/>
              <w:rPr>
                <w:rFonts w:asciiTheme="minorEastAsia" w:hAnsiTheme="minorEastAsia"/>
                <w:sz w:val="24"/>
              </w:rPr>
            </w:pPr>
            <w:r>
              <w:rPr>
                <w:rFonts w:hint="eastAsia" w:asciiTheme="minorEastAsia" w:hAnsiTheme="minorEastAsia"/>
                <w:sz w:val="24"/>
              </w:rPr>
              <w:t>一年</w:t>
            </w:r>
          </w:p>
        </w:tc>
      </w:tr>
      <w:tr w14:paraId="3DEC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6" w:type="dxa"/>
            <w:vAlign w:val="center"/>
          </w:tcPr>
          <w:p w14:paraId="3A3C21C1">
            <w:pPr>
              <w:spacing w:line="500" w:lineRule="exact"/>
              <w:jc w:val="center"/>
              <w:rPr>
                <w:rFonts w:hint="eastAsia" w:eastAsia="宋体" w:asciiTheme="minorEastAsia" w:hAnsiTheme="minorEastAsia"/>
                <w:sz w:val="24"/>
                <w:lang w:eastAsia="zh-CN"/>
              </w:rPr>
            </w:pPr>
            <w:r>
              <w:rPr>
                <w:rFonts w:hint="eastAsia" w:asciiTheme="minorEastAsia" w:hAnsiTheme="minorEastAsia"/>
                <w:sz w:val="24"/>
                <w:lang w:val="en-US" w:eastAsia="zh-CN"/>
              </w:rPr>
              <w:t>2</w:t>
            </w:r>
          </w:p>
        </w:tc>
        <w:tc>
          <w:tcPr>
            <w:tcW w:w="5890" w:type="dxa"/>
            <w:vAlign w:val="center"/>
          </w:tcPr>
          <w:p w14:paraId="2FE7C1E8">
            <w:pPr>
              <w:spacing w:line="500" w:lineRule="exact"/>
              <w:jc w:val="center"/>
              <w:rPr>
                <w:rFonts w:hint="default" w:eastAsia="宋体" w:asciiTheme="minorEastAsia" w:hAnsiTheme="minorEastAsia"/>
                <w:sz w:val="24"/>
                <w:lang w:val="en-US" w:eastAsia="zh-CN"/>
              </w:rPr>
            </w:pPr>
            <w:r>
              <w:rPr>
                <w:rFonts w:hint="eastAsia" w:asciiTheme="minorEastAsia" w:hAnsiTheme="minorEastAsia"/>
                <w:sz w:val="24"/>
              </w:rPr>
              <w:t>S</w:t>
            </w:r>
            <w:r>
              <w:rPr>
                <w:rFonts w:asciiTheme="minorEastAsia" w:hAnsiTheme="minorEastAsia"/>
                <w:sz w:val="24"/>
              </w:rPr>
              <w:t>SL</w:t>
            </w:r>
            <w:r>
              <w:rPr>
                <w:rFonts w:hint="eastAsia" w:asciiTheme="minorEastAsia" w:hAnsiTheme="minorEastAsia"/>
                <w:sz w:val="24"/>
              </w:rPr>
              <w:t>证书基础级（通配型）</w:t>
            </w:r>
            <w:r>
              <w:rPr>
                <w:rFonts w:hint="eastAsia" w:asciiTheme="minorEastAsia" w:hAnsiTheme="minorEastAsia"/>
                <w:sz w:val="24"/>
                <w:lang w:val="en-US" w:eastAsia="zh-CN"/>
              </w:rPr>
              <w:t>*2</w:t>
            </w:r>
          </w:p>
        </w:tc>
        <w:tc>
          <w:tcPr>
            <w:tcW w:w="1773" w:type="dxa"/>
            <w:vAlign w:val="center"/>
          </w:tcPr>
          <w:p w14:paraId="69069E1F">
            <w:pPr>
              <w:spacing w:line="500" w:lineRule="exact"/>
              <w:jc w:val="center"/>
              <w:rPr>
                <w:rFonts w:asciiTheme="minorEastAsia" w:hAnsiTheme="minorEastAsia"/>
                <w:sz w:val="24"/>
              </w:rPr>
            </w:pPr>
            <w:r>
              <w:rPr>
                <w:rFonts w:hint="eastAsia" w:asciiTheme="minorEastAsia" w:hAnsiTheme="minorEastAsia"/>
                <w:sz w:val="24"/>
              </w:rPr>
              <w:t>一年</w:t>
            </w:r>
          </w:p>
        </w:tc>
      </w:tr>
      <w:tr w14:paraId="0771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6" w:type="dxa"/>
            <w:vAlign w:val="center"/>
          </w:tcPr>
          <w:p w14:paraId="3C07BBF7">
            <w:pPr>
              <w:spacing w:line="500" w:lineRule="exact"/>
              <w:jc w:val="center"/>
              <w:rPr>
                <w:rFonts w:hint="eastAsia" w:eastAsia="宋体" w:asciiTheme="minorEastAsia" w:hAnsiTheme="minorEastAsia"/>
                <w:sz w:val="24"/>
                <w:lang w:eastAsia="zh-CN"/>
              </w:rPr>
            </w:pPr>
            <w:r>
              <w:rPr>
                <w:rFonts w:hint="eastAsia" w:asciiTheme="minorEastAsia" w:hAnsiTheme="minorEastAsia"/>
                <w:sz w:val="24"/>
                <w:lang w:val="en-US" w:eastAsia="zh-CN"/>
              </w:rPr>
              <w:t>3</w:t>
            </w:r>
          </w:p>
        </w:tc>
        <w:tc>
          <w:tcPr>
            <w:tcW w:w="5890" w:type="dxa"/>
            <w:vAlign w:val="center"/>
          </w:tcPr>
          <w:p w14:paraId="0FC2D4AA">
            <w:pPr>
              <w:spacing w:line="500" w:lineRule="exact"/>
              <w:jc w:val="center"/>
              <w:rPr>
                <w:rFonts w:asciiTheme="minorEastAsia" w:hAnsiTheme="minorEastAsia"/>
                <w:sz w:val="24"/>
              </w:rPr>
            </w:pPr>
            <w:r>
              <w:rPr>
                <w:rFonts w:hint="eastAsia" w:asciiTheme="minorEastAsia" w:hAnsiTheme="minorEastAsia"/>
                <w:sz w:val="24"/>
              </w:rPr>
              <w:t>人工安全技术运维服务</w:t>
            </w:r>
          </w:p>
        </w:tc>
        <w:tc>
          <w:tcPr>
            <w:tcW w:w="1773" w:type="dxa"/>
            <w:vAlign w:val="center"/>
          </w:tcPr>
          <w:p w14:paraId="406540BE">
            <w:pPr>
              <w:spacing w:line="500" w:lineRule="exact"/>
              <w:jc w:val="center"/>
              <w:rPr>
                <w:rFonts w:asciiTheme="minorEastAsia" w:hAnsiTheme="minorEastAsia"/>
                <w:sz w:val="24"/>
              </w:rPr>
            </w:pPr>
            <w:r>
              <w:rPr>
                <w:rFonts w:hint="eastAsia" w:asciiTheme="minorEastAsia" w:hAnsiTheme="minorEastAsia"/>
                <w:sz w:val="24"/>
              </w:rPr>
              <w:t>一年</w:t>
            </w:r>
          </w:p>
        </w:tc>
      </w:tr>
      <w:tr w14:paraId="215A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6" w:type="dxa"/>
            <w:vAlign w:val="center"/>
          </w:tcPr>
          <w:p w14:paraId="167B751F">
            <w:pPr>
              <w:spacing w:line="500" w:lineRule="exact"/>
              <w:jc w:val="center"/>
              <w:rPr>
                <w:rFonts w:hint="eastAsia" w:eastAsia="宋体" w:asciiTheme="minorEastAsia" w:hAnsiTheme="minorEastAsia"/>
                <w:sz w:val="24"/>
                <w:lang w:eastAsia="zh-CN"/>
              </w:rPr>
            </w:pPr>
            <w:r>
              <w:rPr>
                <w:rFonts w:hint="eastAsia" w:asciiTheme="minorEastAsia" w:hAnsiTheme="minorEastAsia"/>
                <w:sz w:val="24"/>
                <w:lang w:val="en-US" w:eastAsia="zh-CN"/>
              </w:rPr>
              <w:t>4</w:t>
            </w:r>
          </w:p>
        </w:tc>
        <w:tc>
          <w:tcPr>
            <w:tcW w:w="5890" w:type="dxa"/>
            <w:vAlign w:val="center"/>
          </w:tcPr>
          <w:p w14:paraId="1948E8E0">
            <w:pPr>
              <w:spacing w:line="500" w:lineRule="exact"/>
              <w:jc w:val="center"/>
              <w:rPr>
                <w:rFonts w:asciiTheme="minorEastAsia" w:hAnsiTheme="minorEastAsia"/>
                <w:sz w:val="24"/>
              </w:rPr>
            </w:pPr>
            <w:r>
              <w:rPr>
                <w:rFonts w:hint="eastAsia" w:asciiTheme="minorEastAsia" w:hAnsiTheme="minorEastAsia"/>
                <w:sz w:val="24"/>
              </w:rPr>
              <w:t>远程标准服务包（含内容维护、设计制作、安全支持、技术咨询等全面服务）</w:t>
            </w:r>
          </w:p>
        </w:tc>
        <w:tc>
          <w:tcPr>
            <w:tcW w:w="1773" w:type="dxa"/>
            <w:vAlign w:val="center"/>
          </w:tcPr>
          <w:p w14:paraId="1D1A9F36">
            <w:pPr>
              <w:spacing w:line="500" w:lineRule="exact"/>
              <w:jc w:val="center"/>
              <w:rPr>
                <w:rFonts w:asciiTheme="minorEastAsia" w:hAnsiTheme="minorEastAsia"/>
                <w:sz w:val="24"/>
              </w:rPr>
            </w:pPr>
            <w:r>
              <w:rPr>
                <w:rFonts w:hint="eastAsia" w:asciiTheme="minorEastAsia" w:hAnsiTheme="minorEastAsia"/>
                <w:sz w:val="24"/>
              </w:rPr>
              <w:t>一年</w:t>
            </w:r>
          </w:p>
        </w:tc>
      </w:tr>
      <w:tr w14:paraId="466E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6" w:type="dxa"/>
            <w:vAlign w:val="center"/>
          </w:tcPr>
          <w:p w14:paraId="341FBED5">
            <w:pPr>
              <w:spacing w:line="500" w:lineRule="exact"/>
              <w:jc w:val="center"/>
              <w:rPr>
                <w:rFonts w:hint="eastAsia" w:eastAsia="宋体" w:asciiTheme="minorEastAsia" w:hAnsiTheme="minorEastAsia"/>
                <w:sz w:val="24"/>
                <w:lang w:val="en-US" w:eastAsia="zh-CN"/>
              </w:rPr>
            </w:pPr>
            <w:r>
              <w:rPr>
                <w:rFonts w:hint="eastAsia" w:asciiTheme="minorEastAsia" w:hAnsiTheme="minorEastAsia"/>
                <w:sz w:val="24"/>
                <w:lang w:val="en-US" w:eastAsia="zh-CN"/>
              </w:rPr>
              <w:t>5</w:t>
            </w:r>
          </w:p>
        </w:tc>
        <w:tc>
          <w:tcPr>
            <w:tcW w:w="5890" w:type="dxa"/>
            <w:vAlign w:val="center"/>
          </w:tcPr>
          <w:p w14:paraId="2D3BD835">
            <w:pPr>
              <w:spacing w:line="500" w:lineRule="exact"/>
              <w:jc w:val="center"/>
              <w:rPr>
                <w:rFonts w:hint="eastAsia" w:eastAsia="宋体" w:asciiTheme="minorEastAsia" w:hAnsiTheme="minorEastAsia"/>
                <w:sz w:val="24"/>
                <w:lang w:val="en-US" w:eastAsia="zh-CN"/>
              </w:rPr>
            </w:pPr>
            <w:r>
              <w:rPr>
                <w:rFonts w:hint="eastAsia" w:asciiTheme="minorEastAsia" w:hAnsiTheme="minorEastAsia"/>
                <w:sz w:val="24"/>
              </w:rPr>
              <w:t>网站二级等保测评</w:t>
            </w:r>
            <w:r>
              <w:rPr>
                <w:rFonts w:hint="eastAsia" w:asciiTheme="minorEastAsia" w:hAnsiTheme="minorEastAsia"/>
                <w:sz w:val="24"/>
                <w:lang w:val="en-US" w:eastAsia="zh-CN"/>
              </w:rPr>
              <w:t>协助</w:t>
            </w:r>
            <w:r>
              <w:rPr>
                <w:rFonts w:hint="eastAsia" w:asciiTheme="minorEastAsia" w:hAnsiTheme="minorEastAsia"/>
                <w:sz w:val="24"/>
              </w:rPr>
              <w:t>服务</w:t>
            </w:r>
          </w:p>
        </w:tc>
        <w:tc>
          <w:tcPr>
            <w:tcW w:w="1773" w:type="dxa"/>
            <w:vAlign w:val="center"/>
          </w:tcPr>
          <w:p w14:paraId="62B17341">
            <w:pPr>
              <w:spacing w:line="500" w:lineRule="exact"/>
              <w:jc w:val="center"/>
              <w:rPr>
                <w:rFonts w:hint="eastAsia" w:eastAsia="宋体" w:asciiTheme="minorEastAsia" w:hAnsiTheme="minorEastAsia"/>
                <w:sz w:val="24"/>
                <w:lang w:val="en-US" w:eastAsia="zh-CN"/>
              </w:rPr>
            </w:pPr>
            <w:r>
              <w:rPr>
                <w:rFonts w:hint="eastAsia" w:asciiTheme="minorEastAsia" w:hAnsiTheme="minorEastAsia"/>
                <w:sz w:val="24"/>
                <w:lang w:val="en-US" w:eastAsia="zh-CN"/>
              </w:rPr>
              <w:t>一次</w:t>
            </w:r>
          </w:p>
        </w:tc>
      </w:tr>
      <w:tr w14:paraId="3634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09" w:type="dxa"/>
            <w:gridSpan w:val="3"/>
            <w:vAlign w:val="center"/>
          </w:tcPr>
          <w:p w14:paraId="14024E64">
            <w:pPr>
              <w:spacing w:line="500" w:lineRule="exact"/>
              <w:jc w:val="center"/>
              <w:rPr>
                <w:rFonts w:hint="eastAsia" w:asciiTheme="minorEastAsia" w:hAnsiTheme="minorEastAsia"/>
                <w:sz w:val="24"/>
                <w:lang w:val="en-US" w:eastAsia="zh-CN"/>
              </w:rPr>
            </w:pPr>
            <w:r>
              <w:rPr>
                <w:rFonts w:ascii="宋体" w:hAnsi="宋体" w:eastAsia="宋体" w:cs="宋体"/>
                <w:sz w:val="24"/>
                <w:szCs w:val="24"/>
              </w:rPr>
              <w:t>注：二级等保测评每2年一次，本次 2026 年度暂不需要等保测评相关服务</w:t>
            </w:r>
          </w:p>
        </w:tc>
      </w:tr>
    </w:tbl>
    <w:p w14:paraId="02AA00B4">
      <w:pPr>
        <w:rPr>
          <w:rFonts w:asciiTheme="minorEastAsia" w:hAnsiTheme="minorEastAsia"/>
          <w:b/>
          <w:bCs/>
          <w:szCs w:val="24"/>
        </w:rPr>
      </w:pPr>
    </w:p>
    <w:p w14:paraId="35C6EBBF">
      <w:pPr>
        <w:pStyle w:val="3"/>
        <w:rPr>
          <w:rFonts w:asciiTheme="minorEastAsia" w:hAnsiTheme="minorEastAsia" w:eastAsiaTheme="minorEastAsia"/>
          <w:sz w:val="28"/>
          <w:szCs w:val="24"/>
        </w:rPr>
      </w:pPr>
      <w:bookmarkStart w:id="10" w:name="_Toc118122008"/>
      <w:bookmarkStart w:id="11" w:name="_Toc130981259"/>
      <w:r>
        <w:rPr>
          <w:rFonts w:hint="eastAsia" w:asciiTheme="minorEastAsia" w:hAnsiTheme="minorEastAsia" w:eastAsiaTheme="minorEastAsia"/>
          <w:sz w:val="28"/>
          <w:szCs w:val="24"/>
        </w:rPr>
        <w:t>六、安全服务要求</w:t>
      </w:r>
      <w:bookmarkEnd w:id="10"/>
      <w:bookmarkEnd w:id="11"/>
    </w:p>
    <w:p w14:paraId="390BFD14">
      <w:pPr>
        <w:numPr>
          <w:ilvl w:val="0"/>
          <w:numId w:val="3"/>
        </w:numPr>
        <w:spacing w:line="500" w:lineRule="exact"/>
        <w:rPr>
          <w:sz w:val="24"/>
        </w:rPr>
      </w:pPr>
      <w:r>
        <w:rPr>
          <w:rFonts w:hint="eastAsia"/>
          <w:sz w:val="24"/>
        </w:rPr>
        <w:t>负责安全产品的采购、部署</w:t>
      </w:r>
      <w:r>
        <w:rPr>
          <w:rFonts w:hint="eastAsia"/>
          <w:sz w:val="24"/>
          <w:lang w:eastAsia="zh-CN"/>
        </w:rPr>
        <w:t>，</w:t>
      </w:r>
      <w:r>
        <w:rPr>
          <w:rFonts w:hint="eastAsia"/>
          <w:sz w:val="24"/>
        </w:rPr>
        <w:t>并根据需要提供技术咨询服务。</w:t>
      </w:r>
    </w:p>
    <w:p w14:paraId="1BF8A988">
      <w:pPr>
        <w:numPr>
          <w:ilvl w:val="0"/>
          <w:numId w:val="3"/>
        </w:numPr>
        <w:spacing w:line="500" w:lineRule="exact"/>
        <w:rPr>
          <w:sz w:val="24"/>
        </w:rPr>
      </w:pPr>
      <w:r>
        <w:rPr>
          <w:rFonts w:hint="eastAsia"/>
          <w:sz w:val="24"/>
        </w:rPr>
        <w:t>提供日常维护服务，软件的安装及故障排查，日常监控服务器及安全产品运营情况.</w:t>
      </w:r>
    </w:p>
    <w:p w14:paraId="2D8C81E7">
      <w:pPr>
        <w:numPr>
          <w:ilvl w:val="0"/>
          <w:numId w:val="3"/>
        </w:numPr>
        <w:spacing w:line="500" w:lineRule="exact"/>
        <w:rPr>
          <w:sz w:val="24"/>
        </w:rPr>
      </w:pPr>
      <w:r>
        <w:rPr>
          <w:rFonts w:hint="eastAsia"/>
          <w:sz w:val="24"/>
        </w:rPr>
        <w:t>每天、每周、每月分别具备不同程度的数据备份。</w:t>
      </w:r>
    </w:p>
    <w:p w14:paraId="026036F1">
      <w:pPr>
        <w:numPr>
          <w:ilvl w:val="0"/>
          <w:numId w:val="3"/>
        </w:numPr>
        <w:spacing w:line="500" w:lineRule="exact"/>
        <w:rPr>
          <w:sz w:val="24"/>
        </w:rPr>
      </w:pPr>
      <w:r>
        <w:rPr>
          <w:rFonts w:hint="eastAsia"/>
          <w:sz w:val="24"/>
        </w:rPr>
        <w:t>及时做好安全软件的安全补丁下载和安装。</w:t>
      </w:r>
    </w:p>
    <w:p w14:paraId="40285B9F">
      <w:pPr>
        <w:numPr>
          <w:ilvl w:val="0"/>
          <w:numId w:val="3"/>
        </w:numPr>
        <w:spacing w:line="500" w:lineRule="exact"/>
        <w:rPr>
          <w:sz w:val="24"/>
        </w:rPr>
      </w:pPr>
      <w:r>
        <w:rPr>
          <w:rFonts w:hint="eastAsia"/>
          <w:sz w:val="24"/>
        </w:rPr>
        <w:t>在国家或北京有重大事件期间提供7</w:t>
      </w:r>
      <w:r>
        <w:rPr>
          <w:sz w:val="24"/>
        </w:rPr>
        <w:t>x24</w:t>
      </w:r>
      <w:r>
        <w:rPr>
          <w:rFonts w:hint="eastAsia"/>
          <w:sz w:val="24"/>
        </w:rPr>
        <w:t>小时专项服务。协助提交各项安全检查数据查询，协助院方填写各类安全检查表格。</w:t>
      </w:r>
    </w:p>
    <w:p w14:paraId="674FB2B6">
      <w:pPr>
        <w:numPr>
          <w:ilvl w:val="0"/>
          <w:numId w:val="3"/>
        </w:numPr>
        <w:spacing w:line="500" w:lineRule="exact"/>
        <w:rPr>
          <w:sz w:val="24"/>
        </w:rPr>
      </w:pPr>
      <w:r>
        <w:rPr>
          <w:rFonts w:hint="eastAsia"/>
          <w:sz w:val="24"/>
        </w:rPr>
        <w:t>根据医院需求，提供技术人员上门配合相关部门的检査和询问，答疑解惑。</w:t>
      </w:r>
    </w:p>
    <w:p w14:paraId="7787D9B0">
      <w:pPr>
        <w:numPr>
          <w:ilvl w:val="0"/>
          <w:numId w:val="3"/>
        </w:numPr>
        <w:spacing w:line="500" w:lineRule="exact"/>
        <w:rPr>
          <w:sz w:val="24"/>
        </w:rPr>
      </w:pPr>
      <w:r>
        <w:rPr>
          <w:rFonts w:hint="eastAsia"/>
          <w:sz w:val="24"/>
        </w:rPr>
        <w:t>应急响应服务，如遇特殊事件或大型攻击，提供最佳应对方案，并积极调整安全策略。</w:t>
      </w:r>
    </w:p>
    <w:p w14:paraId="31B73285">
      <w:pPr>
        <w:numPr>
          <w:ilvl w:val="0"/>
          <w:numId w:val="3"/>
        </w:numPr>
        <w:spacing w:line="500" w:lineRule="exact"/>
        <w:rPr>
          <w:sz w:val="24"/>
        </w:rPr>
      </w:pPr>
      <w:r>
        <w:rPr>
          <w:rFonts w:hint="eastAsia"/>
          <w:sz w:val="24"/>
        </w:rPr>
        <w:t>系统维护服务，提供全面的系统维护服务，从各相关应用系统及网站安全提供全方位的系统维护服务。</w:t>
      </w:r>
    </w:p>
    <w:p w14:paraId="5C19DC46">
      <w:pPr>
        <w:numPr>
          <w:ilvl w:val="0"/>
          <w:numId w:val="3"/>
        </w:numPr>
        <w:spacing w:line="500" w:lineRule="exact"/>
        <w:rPr>
          <w:sz w:val="24"/>
        </w:rPr>
      </w:pPr>
      <w:r>
        <w:rPr>
          <w:rFonts w:hint="eastAsia"/>
          <w:sz w:val="24"/>
        </w:rPr>
        <w:t>系统巡检服务，针对网站相关安全产品或系统及网站安全提供全面的巡检服务。</w:t>
      </w:r>
    </w:p>
    <w:p w14:paraId="67245FF7">
      <w:pPr>
        <w:numPr>
          <w:ilvl w:val="0"/>
          <w:numId w:val="3"/>
        </w:numPr>
        <w:spacing w:line="500" w:lineRule="exact"/>
        <w:rPr>
          <w:sz w:val="24"/>
        </w:rPr>
      </w:pPr>
      <w:r>
        <w:rPr>
          <w:rFonts w:hint="eastAsia"/>
          <w:sz w:val="24"/>
        </w:rPr>
        <w:t>产品培训服务，提供产品的安装部署及操作使用培训。</w:t>
      </w:r>
    </w:p>
    <w:p w14:paraId="1A115563">
      <w:pPr>
        <w:widowControl/>
        <w:jc w:val="left"/>
        <w:rPr>
          <w:rFonts w:asciiTheme="minorEastAsia" w:hAnsiTheme="minorEastAsia"/>
          <w:sz w:val="24"/>
        </w:rPr>
      </w:pPr>
      <w:r>
        <w:rPr>
          <w:rFonts w:asciiTheme="minorEastAsia" w:hAnsiTheme="minorEastAsia"/>
          <w:sz w:val="24"/>
        </w:rPr>
        <w:br w:type="page"/>
      </w:r>
    </w:p>
    <w:p w14:paraId="260568B8">
      <w:pPr>
        <w:pStyle w:val="3"/>
        <w:rPr>
          <w:rFonts w:cs="宋体" w:asciiTheme="minorEastAsia" w:hAnsiTheme="minorEastAsia" w:eastAsiaTheme="minorEastAsia"/>
          <w:sz w:val="28"/>
          <w:szCs w:val="24"/>
        </w:rPr>
      </w:pPr>
      <w:bookmarkStart w:id="12" w:name="_Toc118122009"/>
      <w:bookmarkStart w:id="13" w:name="_Toc130981260"/>
      <w:r>
        <w:rPr>
          <w:rFonts w:hint="eastAsia" w:cs="宋体" w:asciiTheme="minorEastAsia" w:hAnsiTheme="minorEastAsia" w:eastAsiaTheme="minorEastAsia"/>
          <w:sz w:val="28"/>
          <w:szCs w:val="24"/>
        </w:rPr>
        <w:t>七、安全产品技术参数要求</w:t>
      </w:r>
      <w:bookmarkEnd w:id="12"/>
      <w:bookmarkEnd w:id="13"/>
    </w:p>
    <w:p w14:paraId="577992C4">
      <w:pPr>
        <w:pStyle w:val="4"/>
        <w:rPr>
          <w:sz w:val="24"/>
        </w:rPr>
      </w:pPr>
      <w:bookmarkStart w:id="14" w:name="_Toc130981262"/>
      <w:bookmarkStart w:id="15" w:name="_Toc74234363"/>
      <w:bookmarkStart w:id="16" w:name="_Toc130903271"/>
      <w:bookmarkStart w:id="17" w:name="_Toc130903304"/>
      <w:r>
        <w:rPr>
          <w:sz w:val="24"/>
        </w:rPr>
        <w:t>7.</w:t>
      </w:r>
      <w:r>
        <w:rPr>
          <w:rFonts w:hint="eastAsia"/>
          <w:sz w:val="24"/>
          <w:lang w:val="en-US" w:eastAsia="zh-CN"/>
        </w:rPr>
        <w:t>1</w:t>
      </w:r>
      <w:r>
        <w:rPr>
          <w:sz w:val="24"/>
        </w:rPr>
        <w:t xml:space="preserve"> </w:t>
      </w:r>
      <w:r>
        <w:rPr>
          <w:rFonts w:hint="eastAsia"/>
          <w:sz w:val="24"/>
        </w:rPr>
        <w:t>企业主机安全</w:t>
      </w:r>
      <w:bookmarkEnd w:id="14"/>
      <w:bookmarkEnd w:id="15"/>
      <w:bookmarkEnd w:id="16"/>
      <w:bookmarkEnd w:id="17"/>
    </w:p>
    <w:p w14:paraId="53E3C438">
      <w:pPr>
        <w:spacing w:line="520" w:lineRule="exact"/>
        <w:contextualSpacing/>
        <w:rPr>
          <w:rFonts w:ascii="仿宋" w:hAnsi="仿宋" w:eastAsia="仿宋" w:cstheme="minorEastAsia"/>
          <w:sz w:val="24"/>
          <w:szCs w:val="24"/>
        </w:rPr>
      </w:pPr>
      <w:bookmarkStart w:id="18" w:name="_Toc74234365"/>
      <w:r>
        <w:rPr>
          <w:rFonts w:hint="eastAsia" w:ascii="仿宋" w:hAnsi="仿宋" w:eastAsia="仿宋" w:cstheme="minorEastAsia"/>
          <w:sz w:val="24"/>
          <w:szCs w:val="24"/>
        </w:rPr>
        <w:t>企业主机安全是提升主机整体安全性的服务，通过主机管理、风险预防、入侵检测、高级防御、安全运营、网页防篡改功能，可全面识别并管理主机中的信息资产，实时监测主机中的风险并阻止非法入侵行为，帮助构建服务器安全体系，降低当前服务器面临的主要安全风险。</w:t>
      </w:r>
    </w:p>
    <w:p w14:paraId="63EB6DFC">
      <w:pPr>
        <w:pStyle w:val="28"/>
        <w:numPr>
          <w:ilvl w:val="0"/>
          <w:numId w:val="4"/>
        </w:numPr>
        <w:spacing w:line="520" w:lineRule="exact"/>
        <w:ind w:left="0" w:firstLine="0"/>
        <w:contextualSpacing/>
        <w:rPr>
          <w:rFonts w:ascii="仿宋" w:hAnsi="仿宋" w:eastAsia="仿宋" w:cstheme="minorEastAsia"/>
          <w:sz w:val="24"/>
          <w:szCs w:val="24"/>
        </w:rPr>
      </w:pPr>
      <w:r>
        <w:rPr>
          <w:rFonts w:hint="eastAsia" w:ascii="仿宋" w:hAnsi="仿宋" w:eastAsia="仿宋" w:cstheme="minorEastAsia"/>
          <w:sz w:val="24"/>
          <w:szCs w:val="24"/>
        </w:rPr>
        <w:t>分析识别、报警各类安全事件和新型攻击提供恶意代码防护机制。</w:t>
      </w:r>
    </w:p>
    <w:p w14:paraId="59E74DFD">
      <w:pPr>
        <w:pStyle w:val="28"/>
        <w:numPr>
          <w:ilvl w:val="0"/>
          <w:numId w:val="4"/>
        </w:numPr>
        <w:spacing w:line="520" w:lineRule="exact"/>
        <w:ind w:left="0" w:firstLine="0"/>
        <w:contextualSpacing/>
        <w:rPr>
          <w:rFonts w:ascii="仿宋" w:hAnsi="仿宋" w:eastAsia="仿宋" w:cstheme="minorEastAsia"/>
          <w:sz w:val="24"/>
          <w:szCs w:val="24"/>
        </w:rPr>
      </w:pPr>
      <w:r>
        <w:rPr>
          <w:rFonts w:hint="eastAsia" w:ascii="仿宋" w:hAnsi="仿宋" w:eastAsia="仿宋" w:cstheme="minorEastAsia"/>
          <w:sz w:val="24"/>
          <w:szCs w:val="24"/>
        </w:rPr>
        <w:t>静态网页防篡改：防止网站服务器中的静态网页文件被篡改。</w:t>
      </w:r>
    </w:p>
    <w:p w14:paraId="19A7BCE7">
      <w:pPr>
        <w:pStyle w:val="28"/>
        <w:numPr>
          <w:ilvl w:val="0"/>
          <w:numId w:val="4"/>
        </w:numPr>
        <w:spacing w:line="520" w:lineRule="exact"/>
        <w:ind w:left="0" w:firstLine="0"/>
        <w:contextualSpacing/>
        <w:rPr>
          <w:rFonts w:ascii="仿宋" w:hAnsi="仿宋" w:eastAsia="仿宋" w:cstheme="minorEastAsia"/>
          <w:sz w:val="24"/>
          <w:szCs w:val="24"/>
        </w:rPr>
      </w:pPr>
      <w:r>
        <w:rPr>
          <w:rFonts w:hint="eastAsia" w:ascii="仿宋" w:hAnsi="仿宋" w:eastAsia="仿宋" w:cstheme="minorEastAsia"/>
          <w:sz w:val="24"/>
          <w:szCs w:val="24"/>
        </w:rPr>
        <w:t>网盘文件防篡改：防止共享文件网盘中的网页文件被篡改。</w:t>
      </w:r>
    </w:p>
    <w:p w14:paraId="5306A32A">
      <w:pPr>
        <w:pStyle w:val="28"/>
        <w:numPr>
          <w:ilvl w:val="0"/>
          <w:numId w:val="4"/>
        </w:numPr>
        <w:spacing w:line="520" w:lineRule="exact"/>
        <w:ind w:left="0" w:firstLine="0"/>
        <w:contextualSpacing/>
        <w:rPr>
          <w:rFonts w:ascii="仿宋" w:hAnsi="仿宋" w:eastAsia="仿宋" w:cstheme="minorEastAsia"/>
          <w:sz w:val="24"/>
          <w:szCs w:val="24"/>
        </w:rPr>
      </w:pPr>
      <w:r>
        <w:rPr>
          <w:rFonts w:hint="eastAsia" w:ascii="仿宋" w:hAnsi="仿宋" w:eastAsia="仿宋" w:cstheme="minorEastAsia"/>
          <w:sz w:val="24"/>
          <w:szCs w:val="24"/>
        </w:rPr>
        <w:t>主机安全防护：提供主机安全企业版全部功能。</w:t>
      </w:r>
    </w:p>
    <w:p w14:paraId="40AE5368">
      <w:pPr>
        <w:pStyle w:val="28"/>
        <w:numPr>
          <w:ilvl w:val="0"/>
          <w:numId w:val="4"/>
        </w:numPr>
        <w:spacing w:line="520" w:lineRule="exact"/>
        <w:ind w:left="0" w:firstLine="0"/>
        <w:contextualSpacing/>
        <w:rPr>
          <w:rFonts w:ascii="仿宋" w:hAnsi="仿宋" w:eastAsia="仿宋" w:cstheme="minorEastAsia"/>
          <w:sz w:val="24"/>
          <w:szCs w:val="24"/>
        </w:rPr>
      </w:pPr>
      <w:r>
        <w:rPr>
          <w:rFonts w:hint="eastAsia" w:ascii="仿宋" w:hAnsi="仿宋" w:eastAsia="仿宋" w:cstheme="minorEastAsia"/>
          <w:sz w:val="24"/>
          <w:szCs w:val="24"/>
        </w:rPr>
        <w:t>动态网页防篡改：防止网站数据库中动态网页内容被篡改。</w:t>
      </w:r>
    </w:p>
    <w:bookmarkEnd w:id="18"/>
    <w:p w14:paraId="7552DC0B">
      <w:pPr>
        <w:pStyle w:val="4"/>
        <w:rPr>
          <w:sz w:val="24"/>
        </w:rPr>
      </w:pPr>
      <w:bookmarkStart w:id="19" w:name="_Toc130903309"/>
      <w:bookmarkStart w:id="20" w:name="_Toc130981267"/>
      <w:bookmarkStart w:id="21" w:name="_Toc130903276"/>
      <w:r>
        <w:rPr>
          <w:sz w:val="24"/>
        </w:rPr>
        <w:t>7.</w:t>
      </w:r>
      <w:r>
        <w:rPr>
          <w:rFonts w:hint="eastAsia"/>
          <w:sz w:val="24"/>
          <w:lang w:val="en-US" w:eastAsia="zh-CN"/>
        </w:rPr>
        <w:t>2</w:t>
      </w:r>
      <w:r>
        <w:rPr>
          <w:sz w:val="24"/>
        </w:rPr>
        <w:t xml:space="preserve"> </w:t>
      </w:r>
      <w:r>
        <w:rPr>
          <w:rFonts w:hint="eastAsia"/>
          <w:sz w:val="24"/>
        </w:rPr>
        <w:t>人工安全技术运维服务</w:t>
      </w:r>
      <w:bookmarkEnd w:id="19"/>
      <w:bookmarkEnd w:id="20"/>
      <w:bookmarkEnd w:id="21"/>
    </w:p>
    <w:p w14:paraId="32B50F4D">
      <w:pPr>
        <w:pStyle w:val="28"/>
        <w:numPr>
          <w:ilvl w:val="0"/>
          <w:numId w:val="0"/>
        </w:numPr>
        <w:spacing w:line="520" w:lineRule="exact"/>
        <w:ind w:leftChars="0"/>
        <w:contextualSpacing/>
        <w:rPr>
          <w:rFonts w:ascii="仿宋" w:hAnsi="仿宋" w:eastAsia="仿宋" w:cstheme="minorEastAsia"/>
          <w:sz w:val="24"/>
          <w:szCs w:val="24"/>
        </w:rPr>
      </w:pPr>
      <w:r>
        <w:rPr>
          <w:rFonts w:hint="eastAsia" w:ascii="仿宋" w:hAnsi="仿宋" w:eastAsia="仿宋" w:cstheme="minorEastAsia"/>
          <w:kern w:val="2"/>
          <w:sz w:val="24"/>
          <w:szCs w:val="24"/>
        </w:rPr>
        <w:t>▲</w:t>
      </w:r>
      <w:r>
        <w:rPr>
          <w:rFonts w:hint="eastAsia" w:ascii="仿宋" w:hAnsi="仿宋" w:eastAsia="仿宋" w:cstheme="minorEastAsia"/>
          <w:kern w:val="2"/>
          <w:sz w:val="24"/>
          <w:szCs w:val="24"/>
          <w:lang w:val="en-US" w:eastAsia="zh-CN"/>
        </w:rPr>
        <w:t xml:space="preserve"> </w:t>
      </w:r>
      <w:r>
        <w:rPr>
          <w:rFonts w:hint="eastAsia" w:ascii="仿宋" w:hAnsi="仿宋" w:eastAsia="仿宋" w:cstheme="minorEastAsia"/>
          <w:kern w:val="2"/>
          <w:sz w:val="24"/>
          <w:szCs w:val="24"/>
        </w:rPr>
        <w:t>1)医院官方网站安全产品全周期运维与咨询支持：</w:t>
      </w:r>
    </w:p>
    <w:p w14:paraId="6718C859">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负责医院官方网站安全产品的配置部署、人工技术运维支持，提供全流程技术咨询服务，保障安全产品与</w:t>
      </w:r>
      <w:r>
        <w:rPr>
          <w:rFonts w:hint="eastAsia" w:ascii="仿宋" w:hAnsi="仿宋" w:eastAsia="仿宋" w:cstheme="minorEastAsia"/>
          <w:kern w:val="2"/>
          <w:sz w:val="24"/>
          <w:szCs w:val="24"/>
        </w:rPr>
        <w:t>医院官方网站</w:t>
      </w:r>
      <w:r>
        <w:rPr>
          <w:rFonts w:hint="eastAsia" w:ascii="仿宋" w:hAnsi="仿宋" w:eastAsia="仿宋" w:cstheme="minorEastAsia"/>
          <w:sz w:val="24"/>
          <w:szCs w:val="24"/>
        </w:rPr>
        <w:t>系统适配运行。</w:t>
      </w:r>
    </w:p>
    <w:p w14:paraId="3CCAF432">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需要投标人具有丰富的安全运维经验，从安装部署、环境配置将所有采购的安全产品进行串联配置，并针对每一项产品做详细的应用设置，例如waf的一系列防护规则，配置完毕后出具配置报告。</w:t>
      </w:r>
    </w:p>
    <w:p w14:paraId="5106F14A">
      <w:pPr>
        <w:pStyle w:val="28"/>
        <w:numPr>
          <w:ilvl w:val="0"/>
          <w:numId w:val="0"/>
        </w:numPr>
        <w:spacing w:line="520" w:lineRule="exact"/>
        <w:ind w:left="0" w:leftChars="0" w:firstLine="0" w:firstLineChars="0"/>
        <w:contextualSpacing/>
        <w:rPr>
          <w:rFonts w:ascii="仿宋" w:hAnsi="仿宋" w:eastAsia="仿宋" w:cstheme="minorEastAsia"/>
          <w:sz w:val="24"/>
          <w:szCs w:val="24"/>
        </w:rPr>
      </w:pPr>
      <w:r>
        <w:rPr>
          <w:rFonts w:hint="eastAsia" w:ascii="仿宋" w:hAnsi="仿宋" w:eastAsia="仿宋" w:cstheme="minorEastAsia"/>
          <w:kern w:val="2"/>
          <w:sz w:val="24"/>
          <w:szCs w:val="24"/>
        </w:rPr>
        <w:t>▲</w:t>
      </w:r>
      <w:r>
        <w:rPr>
          <w:rFonts w:hint="eastAsia" w:ascii="仿宋" w:hAnsi="仿宋" w:eastAsia="仿宋" w:cstheme="minorEastAsia"/>
          <w:kern w:val="2"/>
          <w:sz w:val="24"/>
          <w:szCs w:val="24"/>
          <w:lang w:val="en-US" w:eastAsia="zh-CN"/>
        </w:rPr>
        <w:t xml:space="preserve"> </w:t>
      </w:r>
      <w:r>
        <w:rPr>
          <w:rFonts w:hint="eastAsia" w:ascii="仿宋" w:hAnsi="仿宋" w:eastAsia="仿宋" w:cstheme="minorEastAsia"/>
          <w:sz w:val="24"/>
          <w:szCs w:val="24"/>
          <w:lang w:val="en-US" w:eastAsia="zh-CN" w:bidi="ar-SA"/>
        </w:rPr>
        <w:t>2</w:t>
      </w:r>
      <w:r>
        <w:rPr>
          <w:rFonts w:ascii="仿宋" w:hAnsi="仿宋" w:eastAsia="仿宋" w:cstheme="minorEastAsia"/>
          <w:sz w:val="24"/>
          <w:szCs w:val="24"/>
          <w:lang w:val="en-US" w:eastAsia="zh-CN" w:bidi="ar-SA"/>
        </w:rPr>
        <w:t>)</w:t>
      </w:r>
      <w:r>
        <w:rPr>
          <w:rFonts w:hint="eastAsia" w:ascii="仿宋" w:hAnsi="仿宋" w:eastAsia="仿宋" w:cstheme="minorEastAsia"/>
          <w:kern w:val="2"/>
          <w:sz w:val="24"/>
          <w:szCs w:val="24"/>
        </w:rPr>
        <w:t>医院官方网站日常安全运维与监控保障服务：</w:t>
      </w:r>
    </w:p>
    <w:p w14:paraId="12637688">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提供安全产品安装、故障排查等日常维护服务，实时监控服务器及安全产品运行状态，确保</w:t>
      </w:r>
      <w:r>
        <w:rPr>
          <w:rFonts w:hint="eastAsia" w:ascii="仿宋" w:hAnsi="仿宋" w:eastAsia="仿宋" w:cstheme="minorEastAsia"/>
          <w:kern w:val="2"/>
          <w:sz w:val="24"/>
          <w:szCs w:val="24"/>
        </w:rPr>
        <w:t>医院官方网站</w:t>
      </w:r>
      <w:r>
        <w:rPr>
          <w:rFonts w:hint="eastAsia" w:ascii="仿宋" w:hAnsi="仿宋" w:eastAsia="仿宋" w:cstheme="minorEastAsia"/>
          <w:sz w:val="24"/>
          <w:szCs w:val="24"/>
        </w:rPr>
        <w:t>系统稳定运行。</w:t>
      </w:r>
    </w:p>
    <w:p w14:paraId="0CC7004C">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投标人需安排专业技术人员在初始使用后的一个月内进行7*24小时的持续跟踪服务。</w:t>
      </w:r>
      <w:r>
        <w:rPr>
          <w:rFonts w:hint="eastAsia" w:ascii="MS Gothic" w:hAnsi="MS Gothic" w:eastAsia="MS Gothic" w:cs="MS Gothic"/>
          <w:sz w:val="24"/>
          <w:szCs w:val="24"/>
        </w:rPr>
        <w:t>​</w:t>
      </w:r>
    </w:p>
    <w:p w14:paraId="496322A0">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例如：对 waf 策略进行至少3次调优、加严，每次调优需记录调整前后的策略对比及效果分析，确保调优后防护能力提升且不影响业务正常运行。</w:t>
      </w:r>
      <w:r>
        <w:rPr>
          <w:rFonts w:hint="eastAsia" w:ascii="MS Gothic" w:hAnsi="MS Gothic" w:eastAsia="MS Gothic" w:cs="MS Gothic"/>
          <w:sz w:val="24"/>
          <w:szCs w:val="24"/>
        </w:rPr>
        <w:t>​</w:t>
      </w:r>
    </w:p>
    <w:p w14:paraId="7B3424BF">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对于安全事件，需在发现后2小时内进行分析处理，并出具事件分析报告，明确事件原因、影响范围及处理结果。</w:t>
      </w:r>
      <w:r>
        <w:rPr>
          <w:rFonts w:hint="eastAsia" w:ascii="MS Gothic" w:hAnsi="MS Gothic" w:eastAsia="MS Gothic" w:cs="MS Gothic"/>
          <w:sz w:val="24"/>
          <w:szCs w:val="24"/>
        </w:rPr>
        <w:t>​</w:t>
      </w:r>
    </w:p>
    <w:p w14:paraId="3A301E55">
      <w:pPr>
        <w:spacing w:line="520" w:lineRule="exact"/>
        <w:contextualSpacing/>
        <w:rPr>
          <w:rFonts w:hint="eastAsia" w:ascii="仿宋" w:hAnsi="仿宋" w:eastAsia="仿宋" w:cstheme="minorEastAsia"/>
          <w:sz w:val="24"/>
          <w:szCs w:val="24"/>
        </w:rPr>
      </w:pPr>
      <w:r>
        <w:rPr>
          <w:rFonts w:hint="eastAsia" w:ascii="仿宋" w:hAnsi="仿宋" w:eastAsia="仿宋" w:cstheme="minorEastAsia"/>
          <w:sz w:val="24"/>
          <w:szCs w:val="24"/>
        </w:rPr>
        <w:t>针对主机安全发现的问题，需在48小时内提出优化方案，并与采购人协商确定实施方案和时间，优化后需进行验证，确保问题得到解决。</w:t>
      </w:r>
      <w:r>
        <w:rPr>
          <w:rFonts w:hint="eastAsia" w:ascii="MS Gothic" w:hAnsi="MS Gothic" w:eastAsia="MS Gothic" w:cs="MS Gothic"/>
          <w:sz w:val="24"/>
          <w:szCs w:val="24"/>
        </w:rPr>
        <w:t>​</w:t>
      </w:r>
    </w:p>
    <w:p w14:paraId="6308705A">
      <w:pPr>
        <w:pStyle w:val="28"/>
        <w:numPr>
          <w:ilvl w:val="0"/>
          <w:numId w:val="0"/>
        </w:numPr>
        <w:spacing w:line="520" w:lineRule="exact"/>
        <w:ind w:left="0" w:leftChars="0" w:firstLine="0" w:firstLineChars="0"/>
        <w:contextualSpacing/>
        <w:rPr>
          <w:rFonts w:ascii="仿宋" w:hAnsi="仿宋" w:eastAsia="仿宋" w:cstheme="minorEastAsia"/>
          <w:sz w:val="24"/>
          <w:szCs w:val="24"/>
        </w:rPr>
      </w:pPr>
      <w:r>
        <w:rPr>
          <w:rFonts w:hint="eastAsia" w:ascii="仿宋" w:hAnsi="仿宋" w:eastAsia="仿宋" w:cstheme="minorEastAsia"/>
          <w:kern w:val="2"/>
          <w:sz w:val="24"/>
          <w:szCs w:val="24"/>
        </w:rPr>
        <w:t>▲</w:t>
      </w:r>
      <w:r>
        <w:rPr>
          <w:rFonts w:hint="eastAsia" w:ascii="仿宋" w:hAnsi="仿宋" w:eastAsia="仿宋" w:cstheme="minorEastAsia"/>
          <w:kern w:val="2"/>
          <w:sz w:val="24"/>
          <w:szCs w:val="24"/>
          <w:lang w:val="en-US" w:eastAsia="zh-CN"/>
        </w:rPr>
        <w:t xml:space="preserve"> 3</w:t>
      </w:r>
      <w:r>
        <w:rPr>
          <w:rFonts w:ascii="仿宋" w:hAnsi="仿宋" w:eastAsia="仿宋" w:cstheme="minorEastAsia"/>
          <w:sz w:val="24"/>
          <w:szCs w:val="24"/>
          <w:lang w:val="en-US" w:eastAsia="zh-CN" w:bidi="ar-SA"/>
        </w:rPr>
        <w:t>)</w:t>
      </w:r>
      <w:r>
        <w:rPr>
          <w:rFonts w:hint="eastAsia" w:ascii="仿宋" w:hAnsi="仿宋" w:eastAsia="仿宋" w:cstheme="minorEastAsia"/>
          <w:kern w:val="2"/>
          <w:sz w:val="24"/>
          <w:szCs w:val="24"/>
        </w:rPr>
        <w:t>医院官方网站数据分级备份与周期管理服务：</w:t>
      </w:r>
    </w:p>
    <w:p w14:paraId="55CB25DA">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建立分级数据备份机制，按日、周、月实施不同程度的医疗数据备份，保障数据可恢复性与完整性，符合医疗数据管理规范。</w:t>
      </w:r>
    </w:p>
    <w:p w14:paraId="6D781161">
      <w:pPr>
        <w:pStyle w:val="28"/>
        <w:numPr>
          <w:ilvl w:val="0"/>
          <w:numId w:val="0"/>
        </w:numPr>
        <w:spacing w:line="520" w:lineRule="exact"/>
        <w:ind w:left="0" w:leftChars="0" w:firstLine="0" w:firstLineChars="0"/>
        <w:contextualSpacing/>
        <w:rPr>
          <w:rFonts w:ascii="仿宋" w:hAnsi="仿宋" w:eastAsia="仿宋"/>
          <w:bCs/>
          <w:sz w:val="24"/>
          <w:szCs w:val="24"/>
        </w:rPr>
      </w:pPr>
      <w:r>
        <w:rPr>
          <w:rFonts w:hint="eastAsia" w:ascii="仿宋" w:hAnsi="仿宋" w:eastAsia="仿宋" w:cstheme="minorEastAsia"/>
          <w:kern w:val="2"/>
          <w:sz w:val="24"/>
          <w:szCs w:val="24"/>
        </w:rPr>
        <w:t>▲</w:t>
      </w:r>
      <w:r>
        <w:rPr>
          <w:rFonts w:hint="eastAsia" w:ascii="仿宋" w:hAnsi="仿宋" w:eastAsia="仿宋" w:cstheme="minorEastAsia"/>
          <w:kern w:val="2"/>
          <w:sz w:val="24"/>
          <w:szCs w:val="24"/>
          <w:lang w:val="en-US" w:eastAsia="zh-CN"/>
        </w:rPr>
        <w:t xml:space="preserve"> 4</w:t>
      </w:r>
      <w:r>
        <w:rPr>
          <w:rFonts w:ascii="仿宋" w:hAnsi="仿宋" w:eastAsia="仿宋" w:cstheme="minorEastAsia"/>
          <w:sz w:val="24"/>
          <w:szCs w:val="24"/>
          <w:lang w:val="en-US" w:eastAsia="zh-CN" w:bidi="ar-SA"/>
        </w:rPr>
        <w:t>)</w:t>
      </w:r>
      <w:r>
        <w:rPr>
          <w:rFonts w:hint="eastAsia" w:ascii="仿宋" w:hAnsi="仿宋" w:eastAsia="仿宋"/>
          <w:bCs/>
          <w:sz w:val="24"/>
          <w:szCs w:val="24"/>
        </w:rPr>
        <w:t>安全软件补丁合规更新服务：</w:t>
      </w:r>
    </w:p>
    <w:p w14:paraId="323FB9BD">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及时完成安全软件的安全补丁下载与安装，防范漏洞风险，确保</w:t>
      </w:r>
      <w:r>
        <w:rPr>
          <w:rFonts w:hint="eastAsia" w:ascii="仿宋" w:hAnsi="仿宋" w:eastAsia="仿宋" w:cstheme="minorEastAsia"/>
          <w:kern w:val="2"/>
          <w:sz w:val="24"/>
          <w:szCs w:val="24"/>
        </w:rPr>
        <w:t>医院官方网站</w:t>
      </w:r>
      <w:r>
        <w:rPr>
          <w:rFonts w:hint="eastAsia" w:ascii="仿宋" w:hAnsi="仿宋" w:eastAsia="仿宋" w:cstheme="minorEastAsia"/>
          <w:sz w:val="24"/>
          <w:szCs w:val="24"/>
        </w:rPr>
        <w:t>安全防护能力持续有效。</w:t>
      </w:r>
    </w:p>
    <w:p w14:paraId="51C5591B">
      <w:pPr>
        <w:pStyle w:val="28"/>
        <w:numPr>
          <w:ilvl w:val="0"/>
          <w:numId w:val="0"/>
        </w:numPr>
        <w:spacing w:line="520" w:lineRule="exact"/>
        <w:ind w:left="0" w:leftChars="0" w:firstLine="0" w:firstLineChars="0"/>
        <w:contextualSpacing/>
        <w:rPr>
          <w:rFonts w:ascii="仿宋" w:hAnsi="仿宋" w:eastAsia="仿宋" w:cstheme="minorEastAsia"/>
          <w:sz w:val="24"/>
          <w:szCs w:val="24"/>
        </w:rPr>
      </w:pPr>
      <w:r>
        <w:rPr>
          <w:rFonts w:hint="eastAsia" w:ascii="仿宋" w:hAnsi="仿宋" w:eastAsia="仿宋" w:cstheme="minorEastAsia"/>
          <w:kern w:val="2"/>
          <w:sz w:val="24"/>
          <w:szCs w:val="24"/>
        </w:rPr>
        <w:t>▲</w:t>
      </w:r>
      <w:r>
        <w:rPr>
          <w:rFonts w:hint="eastAsia" w:ascii="仿宋" w:hAnsi="仿宋" w:eastAsia="仿宋" w:cstheme="minorEastAsia"/>
          <w:kern w:val="2"/>
          <w:sz w:val="24"/>
          <w:szCs w:val="24"/>
          <w:lang w:val="en-US" w:eastAsia="zh-CN"/>
        </w:rPr>
        <w:t xml:space="preserve"> 5</w:t>
      </w:r>
      <w:r>
        <w:rPr>
          <w:rFonts w:ascii="仿宋" w:hAnsi="仿宋" w:eastAsia="仿宋" w:cstheme="minorEastAsia"/>
          <w:sz w:val="24"/>
          <w:szCs w:val="24"/>
          <w:lang w:val="en-US" w:eastAsia="zh-CN" w:bidi="ar-SA"/>
        </w:rPr>
        <w:t>)</w:t>
      </w:r>
      <w:r>
        <w:rPr>
          <w:rFonts w:hint="eastAsia" w:ascii="仿宋" w:hAnsi="仿宋" w:eastAsia="仿宋" w:cstheme="minorEastAsia"/>
          <w:kern w:val="2"/>
          <w:sz w:val="24"/>
          <w:szCs w:val="24"/>
        </w:rPr>
        <w:t>重大事件期间医院官方网站安全专项保障与检查支持：</w:t>
      </w:r>
    </w:p>
    <w:p w14:paraId="1AF84BA9">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在国家或北京重大事件期间，提供 7×24小时专项运维服务。</w:t>
      </w:r>
    </w:p>
    <w:p w14:paraId="427B469F">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按要求填写各类文档资料，资料内容需真实、准确、完整，提交时间不得晚于规定时间。</w:t>
      </w:r>
      <w:r>
        <w:rPr>
          <w:rFonts w:hint="eastAsia" w:ascii="MS Gothic" w:hAnsi="MS Gothic" w:eastAsia="MS Gothic" w:cs="MS Gothic"/>
          <w:sz w:val="24"/>
          <w:szCs w:val="24"/>
        </w:rPr>
        <w:t>​</w:t>
      </w:r>
    </w:p>
    <w:p w14:paraId="0E510C65">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配合完成安全问题的整改工作，整改完成率需达到 100%，并在整改完成后 1 个工作日内提交整改报告。</w:t>
      </w:r>
      <w:r>
        <w:rPr>
          <w:rFonts w:hint="eastAsia" w:ascii="MS Gothic" w:hAnsi="MS Gothic" w:eastAsia="MS Gothic" w:cs="MS Gothic"/>
          <w:sz w:val="24"/>
          <w:szCs w:val="24"/>
        </w:rPr>
        <w:t>​</w:t>
      </w:r>
    </w:p>
    <w:p w14:paraId="56552EDF">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需根据特殊要求针对性地处理防护策略，可进行加强或放松防护、加白 IP 等操作。操作需记录详细的原因、时间、内容及效果，相关记录需妥善保存，以备我方查验。</w:t>
      </w:r>
    </w:p>
    <w:p w14:paraId="1CF3F2FC">
      <w:pPr>
        <w:pStyle w:val="28"/>
        <w:numPr>
          <w:ilvl w:val="0"/>
          <w:numId w:val="0"/>
        </w:numPr>
        <w:spacing w:line="520" w:lineRule="exact"/>
        <w:ind w:left="0" w:leftChars="0" w:firstLine="0" w:firstLineChars="0"/>
        <w:contextualSpacing/>
        <w:rPr>
          <w:rFonts w:ascii="仿宋" w:hAnsi="仿宋" w:eastAsia="仿宋"/>
          <w:bCs/>
          <w:sz w:val="24"/>
          <w:szCs w:val="24"/>
        </w:rPr>
      </w:pPr>
      <w:r>
        <w:rPr>
          <w:rFonts w:hint="eastAsia" w:ascii="仿宋" w:hAnsi="仿宋" w:eastAsia="仿宋" w:cstheme="minorEastAsia"/>
          <w:kern w:val="2"/>
          <w:sz w:val="24"/>
          <w:szCs w:val="24"/>
        </w:rPr>
        <w:t>▲</w:t>
      </w:r>
      <w:r>
        <w:rPr>
          <w:rFonts w:hint="eastAsia" w:ascii="仿宋" w:hAnsi="仿宋" w:eastAsia="仿宋" w:cstheme="minorEastAsia"/>
          <w:kern w:val="2"/>
          <w:sz w:val="24"/>
          <w:szCs w:val="24"/>
          <w:lang w:val="en-US" w:eastAsia="zh-CN"/>
        </w:rPr>
        <w:t xml:space="preserve"> 6</w:t>
      </w:r>
      <w:r>
        <w:rPr>
          <w:rFonts w:ascii="仿宋" w:hAnsi="仿宋" w:eastAsia="仿宋" w:cstheme="minorEastAsia"/>
          <w:sz w:val="24"/>
          <w:szCs w:val="24"/>
          <w:lang w:val="en-US" w:eastAsia="zh-CN" w:bidi="ar-SA"/>
        </w:rPr>
        <w:t>)</w:t>
      </w:r>
      <w:r>
        <w:rPr>
          <w:rFonts w:hint="eastAsia" w:ascii="仿宋" w:hAnsi="仿宋" w:eastAsia="仿宋"/>
          <w:bCs/>
          <w:sz w:val="24"/>
          <w:szCs w:val="24"/>
        </w:rPr>
        <w:t>医院官方网站系统安全应急响应与攻击防御服务：</w:t>
      </w:r>
    </w:p>
    <w:p w14:paraId="55BD7C72">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针对特殊事件或大型攻击提供应急响应，制定最佳应对方案，动态调整安全策略，保障医院官方网站系统安全。</w:t>
      </w:r>
    </w:p>
    <w:p w14:paraId="615C0584">
      <w:pPr>
        <w:spacing w:line="520" w:lineRule="exact"/>
        <w:contextualSpacing/>
        <w:rPr>
          <w:rFonts w:ascii="仿宋" w:hAnsi="仿宋" w:eastAsia="仿宋" w:cstheme="minorEastAsia"/>
          <w:sz w:val="24"/>
          <w:szCs w:val="24"/>
        </w:rPr>
      </w:pPr>
      <w:r>
        <w:rPr>
          <w:rFonts w:ascii="仿宋" w:hAnsi="仿宋" w:eastAsia="仿宋"/>
          <w:sz w:val="24"/>
          <w:szCs w:val="24"/>
          <w:lang w:bidi="ar"/>
        </w:rPr>
        <w:t>投标人须具备有效的实时监测手段（包括但不限于自研软件、商业软件或云平台工具）</w:t>
      </w:r>
      <w:r>
        <w:rPr>
          <w:rFonts w:hint="eastAsia" w:ascii="仿宋" w:hAnsi="仿宋" w:eastAsia="仿宋" w:cstheme="minorEastAsia"/>
          <w:sz w:val="24"/>
          <w:szCs w:val="24"/>
        </w:rPr>
        <w:t>，需能实时监测安全产品运行状态，对异常情况发出告警，告警响应时间不超过 5 分钟。</w:t>
      </w:r>
    </w:p>
    <w:p w14:paraId="224C8C92">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当发生真的安全问题时，需采取紧急处置措施，处置方式需根据不同安全产品的特点及实际情况多样化实施，例如在 waf 中进行紧急规则配置、在主机安全产品中进行隔离处理等。同时，需制定详细的紧急处置预案，预案需涵盖各种可能出现的安全场景。</w:t>
      </w:r>
    </w:p>
    <w:p w14:paraId="6DB97AED">
      <w:pPr>
        <w:pStyle w:val="28"/>
        <w:numPr>
          <w:ilvl w:val="0"/>
          <w:numId w:val="0"/>
        </w:numPr>
        <w:spacing w:line="520" w:lineRule="exact"/>
        <w:ind w:left="0" w:leftChars="0" w:firstLine="0" w:firstLineChars="0"/>
        <w:contextualSpacing/>
        <w:rPr>
          <w:rFonts w:ascii="仿宋" w:hAnsi="仿宋" w:eastAsia="仿宋" w:cstheme="minorEastAsia"/>
          <w:sz w:val="24"/>
          <w:szCs w:val="24"/>
        </w:rPr>
      </w:pPr>
      <w:r>
        <w:rPr>
          <w:rFonts w:hint="eastAsia" w:ascii="仿宋" w:hAnsi="仿宋" w:eastAsia="仿宋" w:cstheme="minorEastAsia"/>
          <w:kern w:val="2"/>
          <w:sz w:val="24"/>
          <w:szCs w:val="24"/>
        </w:rPr>
        <w:t>▲</w:t>
      </w:r>
      <w:r>
        <w:rPr>
          <w:rFonts w:hint="eastAsia" w:ascii="仿宋" w:hAnsi="仿宋" w:eastAsia="仿宋" w:cstheme="minorEastAsia"/>
          <w:kern w:val="2"/>
          <w:sz w:val="24"/>
          <w:szCs w:val="24"/>
          <w:lang w:val="en-US" w:eastAsia="zh-CN"/>
        </w:rPr>
        <w:t xml:space="preserve"> 7</w:t>
      </w:r>
      <w:r>
        <w:rPr>
          <w:rFonts w:ascii="仿宋" w:hAnsi="仿宋" w:eastAsia="仿宋" w:cstheme="minorEastAsia"/>
          <w:sz w:val="24"/>
          <w:szCs w:val="24"/>
          <w:lang w:val="en-US" w:eastAsia="zh-CN" w:bidi="ar-SA"/>
        </w:rPr>
        <w:t>)</w:t>
      </w:r>
      <w:r>
        <w:rPr>
          <w:rFonts w:hint="eastAsia" w:ascii="仿宋" w:hAnsi="仿宋" w:eastAsia="仿宋" w:cstheme="minorEastAsia"/>
          <w:kern w:val="2"/>
          <w:sz w:val="24"/>
          <w:szCs w:val="24"/>
        </w:rPr>
        <w:t>医院官方网站系统全维度安全维护服务</w:t>
      </w:r>
    </w:p>
    <w:p w14:paraId="7FADD7A5">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提供全面系统维护服务，覆盖医院官方网站系统及网站安全，实现全场景安全防护与稳定运行支持。</w:t>
      </w:r>
    </w:p>
    <w:p w14:paraId="4B36D764">
      <w:pPr>
        <w:pStyle w:val="28"/>
        <w:numPr>
          <w:ilvl w:val="0"/>
          <w:numId w:val="0"/>
        </w:numPr>
        <w:spacing w:line="520" w:lineRule="exact"/>
        <w:ind w:left="0" w:leftChars="0" w:firstLine="0" w:firstLineChars="0"/>
        <w:contextualSpacing/>
        <w:rPr>
          <w:rFonts w:ascii="仿宋" w:hAnsi="仿宋" w:eastAsia="仿宋" w:cstheme="minorEastAsia"/>
          <w:sz w:val="24"/>
          <w:szCs w:val="24"/>
        </w:rPr>
      </w:pPr>
      <w:r>
        <w:rPr>
          <w:rFonts w:hint="eastAsia" w:ascii="仿宋" w:hAnsi="仿宋" w:eastAsia="仿宋" w:cstheme="minorEastAsia"/>
          <w:kern w:val="2"/>
          <w:sz w:val="24"/>
          <w:szCs w:val="24"/>
        </w:rPr>
        <w:t>▲</w:t>
      </w:r>
      <w:r>
        <w:rPr>
          <w:rFonts w:hint="eastAsia" w:ascii="仿宋" w:hAnsi="仿宋" w:eastAsia="仿宋" w:cstheme="minorEastAsia"/>
          <w:kern w:val="2"/>
          <w:sz w:val="24"/>
          <w:szCs w:val="24"/>
          <w:lang w:val="en-US" w:eastAsia="zh-CN"/>
        </w:rPr>
        <w:t xml:space="preserve"> 8</w:t>
      </w:r>
      <w:r>
        <w:rPr>
          <w:rFonts w:ascii="仿宋" w:hAnsi="仿宋" w:eastAsia="仿宋" w:cstheme="minorEastAsia"/>
          <w:sz w:val="24"/>
          <w:szCs w:val="24"/>
          <w:lang w:val="en-US" w:eastAsia="zh-CN" w:bidi="ar-SA"/>
        </w:rPr>
        <w:t>)</w:t>
      </w:r>
      <w:r>
        <w:rPr>
          <w:rFonts w:hint="eastAsia" w:ascii="仿宋" w:hAnsi="仿宋" w:eastAsia="仿宋" w:cstheme="minorEastAsia"/>
          <w:kern w:val="2"/>
          <w:sz w:val="24"/>
          <w:szCs w:val="24"/>
        </w:rPr>
        <w:t>医院官方网站安全产品全面巡检服务：</w:t>
      </w:r>
    </w:p>
    <w:p w14:paraId="11F1FA50">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针对</w:t>
      </w:r>
      <w:r>
        <w:rPr>
          <w:rFonts w:hint="eastAsia" w:ascii="仿宋" w:hAnsi="仿宋" w:eastAsia="仿宋" w:cstheme="minorEastAsia"/>
          <w:kern w:val="2"/>
          <w:sz w:val="24"/>
          <w:szCs w:val="24"/>
        </w:rPr>
        <w:t>医院官方</w:t>
      </w:r>
      <w:r>
        <w:rPr>
          <w:rFonts w:hint="eastAsia" w:ascii="仿宋" w:hAnsi="仿宋" w:eastAsia="仿宋" w:cstheme="minorEastAsia"/>
          <w:sz w:val="24"/>
          <w:szCs w:val="24"/>
        </w:rPr>
        <w:t>网站相关安全产品、系统开展全面巡检，及时发现并处置安全隐患，保障信息系统环境安全；服务期内每月出具安全产品运行报告。</w:t>
      </w:r>
    </w:p>
    <w:p w14:paraId="0B1C8085">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投标人需每月进行一次定期巡检，巡检内容包括但不限于安全产品的运行状态、防护策略有效性、日志记录完整性等。</w:t>
      </w:r>
    </w:p>
    <w:p w14:paraId="5F7B1D4B">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对于巡检中发现的问题，需在 3 个工作日内进行分析调优，调优后需验证效果，并将处理结果纳入当月报告。</w:t>
      </w:r>
      <w:r>
        <w:rPr>
          <w:rFonts w:hint="eastAsia" w:ascii="MS Gothic" w:hAnsi="MS Gothic" w:eastAsia="MS Gothic" w:cs="MS Gothic"/>
          <w:sz w:val="24"/>
          <w:szCs w:val="24"/>
        </w:rPr>
        <w:t>​</w:t>
      </w:r>
    </w:p>
    <w:p w14:paraId="111FC22E">
      <w:pPr>
        <w:spacing w:line="520" w:lineRule="exact"/>
        <w:contextualSpacing/>
        <w:rPr>
          <w:rFonts w:ascii="仿宋" w:hAnsi="仿宋" w:eastAsia="仿宋" w:cstheme="minorEastAsia"/>
          <w:sz w:val="24"/>
          <w:szCs w:val="24"/>
        </w:rPr>
      </w:pPr>
      <w:r>
        <w:rPr>
          <w:rFonts w:hint="eastAsia" w:ascii="仿宋" w:hAnsi="仿宋" w:eastAsia="仿宋" w:cstheme="minorEastAsia"/>
          <w:sz w:val="24"/>
          <w:szCs w:val="24"/>
        </w:rPr>
        <w:t>每月需对涉及的所有安全产品出具当月的运行情况报告，报告需采用固定格式，内容应包括产品运行状态统计、安全事件处理情况、策略调整情况、存在的问题及优化建议等。报告需每月提交上月报告。</w:t>
      </w:r>
    </w:p>
    <w:p w14:paraId="391F93A2">
      <w:pPr>
        <w:pStyle w:val="4"/>
        <w:rPr>
          <w:rFonts w:hint="default" w:eastAsia="宋体"/>
          <w:sz w:val="24"/>
          <w:lang w:val="en-US" w:eastAsia="zh-CN"/>
        </w:rPr>
      </w:pPr>
      <w:bookmarkStart w:id="22" w:name="_Toc130981268"/>
      <w:r>
        <w:rPr>
          <w:sz w:val="24"/>
        </w:rPr>
        <w:t>7.8 SSL证书基础级（通配型）</w:t>
      </w:r>
      <w:bookmarkEnd w:id="22"/>
      <w:r>
        <w:rPr>
          <w:rFonts w:hint="eastAsia"/>
          <w:sz w:val="24"/>
          <w:lang w:val="en-US" w:eastAsia="zh-CN"/>
        </w:rPr>
        <w:t>*2</w:t>
      </w:r>
    </w:p>
    <w:p w14:paraId="2F5F8384">
      <w:pPr>
        <w:spacing w:line="360" w:lineRule="auto"/>
        <w:ind w:firstLine="480" w:firstLineChars="200"/>
        <w:rPr>
          <w:rFonts w:cs="仿宋"/>
          <w:sz w:val="24"/>
          <w:szCs w:val="24"/>
        </w:rPr>
      </w:pPr>
      <w:r>
        <w:rPr>
          <w:rFonts w:hint="eastAsia" w:cs="仿宋"/>
          <w:sz w:val="24"/>
          <w:szCs w:val="24"/>
        </w:rPr>
        <w:t>1）加密强度</w:t>
      </w:r>
      <w:r>
        <w:rPr>
          <w:rFonts w:cs="仿宋"/>
          <w:sz w:val="24"/>
          <w:szCs w:val="24"/>
        </w:rPr>
        <w:t>40位至256位自适应对称加密算法，2048位RSA公钥(非对称加密算法)。</w:t>
      </w:r>
    </w:p>
    <w:p w14:paraId="7E4522C2">
      <w:pPr>
        <w:spacing w:line="360" w:lineRule="auto"/>
        <w:ind w:firstLine="480" w:firstLineChars="200"/>
        <w:rPr>
          <w:rFonts w:cs="仿宋"/>
          <w:sz w:val="24"/>
          <w:szCs w:val="24"/>
        </w:rPr>
      </w:pPr>
      <w:r>
        <w:rPr>
          <w:rFonts w:hint="eastAsia" w:cs="仿宋"/>
          <w:sz w:val="24"/>
          <w:szCs w:val="24"/>
        </w:rPr>
        <w:t>2）支持通配型域名：支持</w:t>
      </w:r>
      <w:r>
        <w:rPr>
          <w:rFonts w:cs="仿宋"/>
          <w:sz w:val="24"/>
          <w:szCs w:val="24"/>
        </w:rPr>
        <w:t>*.domain.com，同一台物理服务器下的子域数量不限。</w:t>
      </w:r>
    </w:p>
    <w:p w14:paraId="3D537B71">
      <w:pPr>
        <w:spacing w:line="360" w:lineRule="auto"/>
        <w:ind w:firstLine="480" w:firstLineChars="200"/>
        <w:rPr>
          <w:rFonts w:cs="仿宋"/>
          <w:sz w:val="24"/>
          <w:szCs w:val="24"/>
        </w:rPr>
      </w:pPr>
      <w:r>
        <w:rPr>
          <w:rFonts w:hint="eastAsia" w:cs="仿宋"/>
          <w:sz w:val="24"/>
          <w:szCs w:val="24"/>
        </w:rPr>
        <w:t>3）支持双域名：一张证书免费同时支持两个相关域名</w:t>
      </w:r>
      <w:r>
        <w:rPr>
          <w:rFonts w:cs="仿宋"/>
          <w:sz w:val="24"/>
          <w:szCs w:val="24"/>
        </w:rPr>
        <w:t>(www.和没有www.)。</w:t>
      </w:r>
    </w:p>
    <w:p w14:paraId="46B36768">
      <w:pPr>
        <w:spacing w:line="360" w:lineRule="auto"/>
        <w:ind w:firstLine="480" w:firstLineChars="200"/>
        <w:rPr>
          <w:rFonts w:cs="仿宋"/>
          <w:sz w:val="24"/>
          <w:szCs w:val="24"/>
        </w:rPr>
      </w:pPr>
      <w:r>
        <w:rPr>
          <w:rFonts w:hint="eastAsia" w:cs="仿宋"/>
          <w:sz w:val="24"/>
          <w:szCs w:val="24"/>
        </w:rPr>
        <w:t>4）支持证书状态在线查询协议</w:t>
      </w:r>
      <w:r>
        <w:rPr>
          <w:rFonts w:cs="仿宋"/>
          <w:sz w:val="24"/>
          <w:szCs w:val="24"/>
        </w:rPr>
        <w:t>(OCSP)。</w:t>
      </w:r>
    </w:p>
    <w:p w14:paraId="1E549EDF">
      <w:pPr>
        <w:spacing w:line="360" w:lineRule="auto"/>
        <w:ind w:firstLine="480" w:firstLineChars="200"/>
        <w:rPr>
          <w:rFonts w:cs="仿宋"/>
          <w:sz w:val="24"/>
          <w:szCs w:val="24"/>
        </w:rPr>
      </w:pPr>
      <w:r>
        <w:rPr>
          <w:rFonts w:hint="eastAsia" w:cs="仿宋"/>
          <w:sz w:val="24"/>
          <w:szCs w:val="24"/>
        </w:rPr>
        <w:t>5）支持证书吊销列表</w:t>
      </w:r>
      <w:r>
        <w:rPr>
          <w:rFonts w:cs="仿宋"/>
          <w:sz w:val="24"/>
          <w:szCs w:val="24"/>
        </w:rPr>
        <w:t>(CRL)。</w:t>
      </w:r>
    </w:p>
    <w:p w14:paraId="1B7A2D11">
      <w:pPr>
        <w:spacing w:line="500" w:lineRule="exact"/>
        <w:ind w:firstLine="480" w:firstLineChars="200"/>
        <w:rPr>
          <w:rFonts w:asciiTheme="minorEastAsia" w:hAnsiTheme="minorEastAsia"/>
          <w:sz w:val="24"/>
        </w:rPr>
      </w:pPr>
    </w:p>
    <w:p w14:paraId="60E81B85">
      <w:pPr>
        <w:pStyle w:val="3"/>
        <w:rPr>
          <w:rFonts w:asciiTheme="minorEastAsia" w:hAnsiTheme="minorEastAsia"/>
          <w:sz w:val="24"/>
        </w:rPr>
      </w:pPr>
      <w:bookmarkStart w:id="23" w:name="_Toc130981269"/>
      <w:r>
        <w:rPr>
          <w:rFonts w:hint="eastAsia" w:asciiTheme="minorEastAsia" w:hAnsiTheme="minorEastAsia"/>
          <w:sz w:val="24"/>
        </w:rPr>
        <w:t>八、安全产品配置与网站系统的适配性</w:t>
      </w:r>
      <w:bookmarkEnd w:id="23"/>
    </w:p>
    <w:p w14:paraId="6A2A8910">
      <w:pPr>
        <w:pStyle w:val="28"/>
        <w:numPr>
          <w:ilvl w:val="0"/>
          <w:numId w:val="0"/>
        </w:numPr>
        <w:spacing w:line="520" w:lineRule="exact"/>
        <w:ind w:left="0" w:lef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lang w:val="en-US" w:eastAsia="zh-CN" w:bidi="ar-SA"/>
        </w:rPr>
        <w:t>*1.</w:t>
      </w:r>
      <w:r>
        <w:rPr>
          <w:rFonts w:hint="eastAsia" w:ascii="宋体" w:hAnsi="宋体" w:eastAsia="宋体" w:cs="宋体"/>
          <w:kern w:val="2"/>
          <w:sz w:val="24"/>
          <w:szCs w:val="24"/>
        </w:rPr>
        <w:t>安全产品的功能和配置必须与现有医院官方网站系统的功能相契合，达到安全防护要求的同时不影响医院官方网站系统的正常运行。承诺如不能达到要求则承担全部责任。</w:t>
      </w:r>
    </w:p>
    <w:p w14:paraId="2708FC2F">
      <w:pPr>
        <w:pStyle w:val="28"/>
        <w:numPr>
          <w:ilvl w:val="0"/>
          <w:numId w:val="0"/>
        </w:numPr>
        <w:spacing w:line="520" w:lineRule="exact"/>
        <w:ind w:left="0" w:lef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lang w:val="en-US" w:eastAsia="zh-CN" w:bidi="ar-SA"/>
        </w:rPr>
        <w:t>*2.</w:t>
      </w:r>
      <w:r>
        <w:rPr>
          <w:rFonts w:hint="eastAsia" w:ascii="宋体" w:hAnsi="宋体" w:eastAsia="宋体" w:cs="宋体"/>
          <w:kern w:val="2"/>
          <w:sz w:val="24"/>
          <w:szCs w:val="24"/>
        </w:rPr>
        <w:t>投标人所提供的安全产品必须满足现有医院官方网站系统的通用webservice接口要求，不影响医院官方网站通用接口正常运行，承诺如不能达到要求则承担全部责任。</w:t>
      </w:r>
    </w:p>
    <w:p w14:paraId="6D924B8B">
      <w:pPr>
        <w:pStyle w:val="28"/>
        <w:numPr>
          <w:ilvl w:val="0"/>
          <w:numId w:val="0"/>
        </w:numPr>
        <w:spacing w:line="520" w:lineRule="exact"/>
        <w:ind w:left="0" w:leftChars="0" w:firstLine="0" w:firstLineChars="0"/>
        <w:contextualSpacing/>
        <w:jc w:val="left"/>
        <w:rPr>
          <w:rFonts w:ascii="宋体" w:hAnsi="宋体" w:eastAsia="宋体" w:cs="宋体"/>
          <w:sz w:val="24"/>
          <w:szCs w:val="24"/>
        </w:rPr>
      </w:pPr>
      <w:r>
        <w:rPr>
          <w:rFonts w:hint="eastAsia" w:ascii="宋体" w:hAnsi="宋体" w:eastAsia="宋体" w:cs="宋体"/>
          <w:sz w:val="24"/>
          <w:szCs w:val="24"/>
          <w:lang w:val="en-US" w:eastAsia="zh-CN" w:bidi="ar-SA"/>
        </w:rPr>
        <w:t>*3.</w:t>
      </w:r>
      <w:r>
        <w:rPr>
          <w:rFonts w:ascii="宋体" w:hAnsi="宋体" w:eastAsia="宋体" w:cs="宋体"/>
          <w:sz w:val="24"/>
          <w:szCs w:val="24"/>
        </w:rPr>
        <w:t>安全产品迁移 / 部署前，须同医院官方网站现有服务商进行联调，确保安全产品环境已正确设置并可以正常工作。测试安全产品的稳定性和兼容性，确保能够满足原网站安全防护要求，所涉及到的联调费用需包含在此次报价中，承诺如不能达到要求则承担全部责任。</w:t>
      </w:r>
    </w:p>
    <w:p w14:paraId="35066DFF">
      <w:pPr>
        <w:pStyle w:val="28"/>
        <w:numPr>
          <w:ilvl w:val="0"/>
          <w:numId w:val="0"/>
        </w:numPr>
        <w:spacing w:line="520" w:lineRule="exact"/>
        <w:ind w:left="0" w:leftChars="0" w:firstLine="0" w:firstLineChars="0"/>
        <w:contextualSpacing/>
        <w:jc w:val="left"/>
        <w:rPr>
          <w:rFonts w:hint="eastAsia" w:ascii="宋体" w:hAnsi="宋体" w:eastAsia="宋体" w:cs="宋体"/>
          <w:kern w:val="2"/>
          <w:sz w:val="24"/>
          <w:szCs w:val="24"/>
        </w:rPr>
      </w:pPr>
      <w:r>
        <w:rPr>
          <w:rFonts w:hint="eastAsia" w:ascii="宋体" w:hAnsi="宋体" w:eastAsia="宋体" w:cs="宋体"/>
          <w:sz w:val="24"/>
          <w:szCs w:val="24"/>
          <w:lang w:val="en-US" w:eastAsia="zh-CN" w:bidi="ar-SA"/>
        </w:rPr>
        <w:t>*</w:t>
      </w: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rPr>
        <w:t>医院官方网站实施安全产品配置过程中，须保持医院官方网站的无缝对接，期间不能影响医院官方网站的正常使用，承诺如不能达到要求则承担全部责任。</w:t>
      </w:r>
    </w:p>
    <w:p w14:paraId="5FF1E515">
      <w:pPr>
        <w:spacing w:line="500" w:lineRule="exact"/>
        <w:ind w:firstLine="482" w:firstLineChars="200"/>
        <w:rPr>
          <w:rFonts w:asciiTheme="minorEastAsia" w:hAnsiTheme="minorEastAsia"/>
          <w:b/>
          <w:bCs/>
          <w:sz w:val="24"/>
        </w:rPr>
      </w:pPr>
      <w:r>
        <w:rPr>
          <w:rFonts w:hint="eastAsia" w:asciiTheme="minorEastAsia" w:hAnsiTheme="minorEastAsia"/>
          <w:b/>
          <w:bCs/>
          <w:sz w:val="24"/>
        </w:rPr>
        <w:t>注：</w:t>
      </w:r>
      <w:r>
        <w:rPr>
          <w:rFonts w:asciiTheme="minorEastAsia" w:hAnsiTheme="minorEastAsia"/>
          <w:b/>
          <w:bCs/>
          <w:sz w:val="24"/>
        </w:rPr>
        <w:t>*要求为必须提供项，不提供为不满足</w:t>
      </w:r>
      <w:r>
        <w:rPr>
          <w:rFonts w:hint="eastAsia" w:asciiTheme="minorEastAsia" w:hAnsiTheme="minorEastAsia"/>
          <w:b/>
          <w:bCs/>
          <w:sz w:val="24"/>
        </w:rPr>
        <w:t>招标</w:t>
      </w:r>
      <w:r>
        <w:rPr>
          <w:rFonts w:asciiTheme="minorEastAsia" w:hAnsiTheme="minorEastAsia"/>
          <w:b/>
          <w:bCs/>
          <w:sz w:val="24"/>
        </w:rPr>
        <w:t>要求</w:t>
      </w:r>
      <w:r>
        <w:rPr>
          <w:rFonts w:hint="eastAsia" w:asciiTheme="minorEastAsia" w:hAnsiTheme="minorEastAsia"/>
          <w:b/>
          <w:bCs/>
          <w:sz w:val="24"/>
        </w:rPr>
        <w:t>。</w:t>
      </w:r>
    </w:p>
    <w:p w14:paraId="72B8DC85"/>
    <w:p w14:paraId="293643E3">
      <w:pPr>
        <w:pStyle w:val="3"/>
        <w:rPr>
          <w:rFonts w:asciiTheme="minorEastAsia" w:hAnsiTheme="minorEastAsia"/>
          <w:sz w:val="24"/>
        </w:rPr>
      </w:pPr>
      <w:bookmarkStart w:id="24" w:name="_Toc130981270"/>
      <w:r>
        <w:rPr>
          <w:rFonts w:hint="eastAsia" w:asciiTheme="minorEastAsia" w:hAnsiTheme="minorEastAsia"/>
          <w:sz w:val="24"/>
        </w:rPr>
        <w:t>九、远程标准服务要求</w:t>
      </w:r>
      <w:bookmarkEnd w:id="24"/>
    </w:p>
    <w:p w14:paraId="7E69B065">
      <w:pPr>
        <w:pStyle w:val="28"/>
        <w:numPr>
          <w:ilvl w:val="0"/>
          <w:numId w:val="0"/>
        </w:numPr>
        <w:spacing w:line="520" w:lineRule="exact"/>
        <w:ind w:left="0" w:leftChars="0" w:firstLine="0" w:firstLineChars="0"/>
        <w:contextualSpacing/>
        <w:rPr>
          <w:rFonts w:hint="eastAsia" w:ascii="宋体" w:hAnsi="宋体" w:eastAsia="宋体"/>
          <w:bCs/>
          <w:sz w:val="24"/>
          <w:szCs w:val="24"/>
          <w:lang w:val="zh-TW"/>
        </w:rPr>
      </w:pPr>
      <w:bookmarkStart w:id="25" w:name="_Toc130981271"/>
      <w:bookmarkStart w:id="26" w:name="_Toc118122001"/>
      <w:bookmarkStart w:id="27" w:name="_Toc5659"/>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1</w:t>
      </w:r>
      <w:r>
        <w:rPr>
          <w:rFonts w:hint="eastAsia" w:ascii="宋体" w:hAnsi="宋体" w:eastAsia="宋体" w:cs="宋体"/>
          <w:sz w:val="24"/>
          <w:szCs w:val="24"/>
          <w:lang w:val="en-US" w:eastAsia="zh-CN" w:bidi="ar-SA"/>
        </w:rPr>
        <w:t>)</w:t>
      </w:r>
      <w:r>
        <w:rPr>
          <w:rFonts w:hint="eastAsia" w:ascii="宋体" w:hAnsi="宋体" w:eastAsia="宋体" w:cs="宋体"/>
          <w:sz w:val="24"/>
          <w:szCs w:val="24"/>
        </w:rPr>
        <w:t>互联网基础系统运维服务</w:t>
      </w:r>
    </w:p>
    <w:p w14:paraId="37A1184A">
      <w:pPr>
        <w:pStyle w:val="28"/>
        <w:numPr>
          <w:ilvl w:val="0"/>
          <w:numId w:val="5"/>
        </w:numPr>
        <w:spacing w:line="520" w:lineRule="exact"/>
        <w:ind w:left="0" w:firstLine="0"/>
        <w:contextualSpacing/>
        <w:rPr>
          <w:rFonts w:hint="eastAsia" w:ascii="宋体" w:hAnsi="宋体" w:eastAsia="宋体"/>
          <w:bCs/>
          <w:sz w:val="24"/>
          <w:szCs w:val="24"/>
          <w:lang w:val="zh-TW"/>
        </w:rPr>
      </w:pPr>
      <w:r>
        <w:rPr>
          <w:rFonts w:hint="eastAsia" w:ascii="宋体" w:hAnsi="宋体" w:eastAsia="宋体"/>
          <w:bCs/>
          <w:sz w:val="24"/>
          <w:szCs w:val="24"/>
          <w:lang w:val="zh-TW"/>
        </w:rPr>
        <w:t>网站功能定期升级：提供每月一次网站功能升级（如有，包括补丁安装）</w:t>
      </w:r>
    </w:p>
    <w:p w14:paraId="03EB1BAD">
      <w:pPr>
        <w:pStyle w:val="28"/>
        <w:numPr>
          <w:ilvl w:val="0"/>
          <w:numId w:val="5"/>
        </w:numPr>
        <w:spacing w:line="520" w:lineRule="exact"/>
        <w:ind w:left="0" w:firstLine="0"/>
        <w:contextualSpacing/>
        <w:rPr>
          <w:rFonts w:hint="eastAsia" w:ascii="宋体" w:hAnsi="宋体" w:eastAsia="宋体"/>
          <w:bCs/>
          <w:sz w:val="24"/>
          <w:szCs w:val="24"/>
          <w:lang w:val="zh-TW"/>
        </w:rPr>
      </w:pPr>
      <w:r>
        <w:rPr>
          <w:rFonts w:hint="eastAsia" w:ascii="宋体" w:hAnsi="宋体" w:eastAsia="宋体"/>
          <w:bCs/>
          <w:sz w:val="24"/>
          <w:szCs w:val="24"/>
          <w:lang w:val="zh-TW"/>
        </w:rPr>
        <w:t>BUG修复：负责修复网站功能BUG，保障网站功能的正常运行</w:t>
      </w:r>
    </w:p>
    <w:p w14:paraId="6D917A8F">
      <w:pPr>
        <w:pStyle w:val="28"/>
        <w:numPr>
          <w:ilvl w:val="0"/>
          <w:numId w:val="0"/>
        </w:numPr>
        <w:spacing w:line="520" w:lineRule="exact"/>
        <w:ind w:left="0" w:leftChars="0" w:firstLine="0" w:firstLineChars="0"/>
        <w:contextualSpacing/>
        <w:rPr>
          <w:rFonts w:hint="eastAsia" w:ascii="宋体" w:hAnsi="宋体" w:eastAsia="宋体"/>
          <w:b/>
          <w:bCs/>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w:t>
      </w:r>
      <w:r>
        <w:rPr>
          <w:rFonts w:hint="eastAsia" w:ascii="宋体" w:hAnsi="宋体" w:eastAsia="宋体" w:cs="宋体"/>
          <w:sz w:val="24"/>
          <w:szCs w:val="24"/>
          <w:lang w:val="en-US" w:eastAsia="zh-CN" w:bidi="ar-SA"/>
        </w:rPr>
        <w:t>2)</w:t>
      </w:r>
      <w:r>
        <w:rPr>
          <w:rFonts w:hint="eastAsia" w:ascii="宋体" w:hAnsi="宋体" w:eastAsia="宋体" w:cs="宋体"/>
          <w:sz w:val="24"/>
          <w:szCs w:val="24"/>
          <w:lang w:val="zh-TW"/>
        </w:rPr>
        <w:t>图文编辑排版服务</w:t>
      </w:r>
    </w:p>
    <w:tbl>
      <w:tblPr>
        <w:tblStyle w:val="11"/>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126"/>
        <w:gridCol w:w="709"/>
        <w:gridCol w:w="4252"/>
      </w:tblGrid>
      <w:tr w14:paraId="40FA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restart"/>
            <w:vAlign w:val="center"/>
          </w:tcPr>
          <w:p w14:paraId="0117C16E">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w:t>
            </w:r>
          </w:p>
        </w:tc>
        <w:tc>
          <w:tcPr>
            <w:tcW w:w="2126" w:type="dxa"/>
            <w:vMerge w:val="restart"/>
            <w:vAlign w:val="center"/>
          </w:tcPr>
          <w:p w14:paraId="076447A5">
            <w:pPr>
              <w:spacing w:line="520" w:lineRule="exact"/>
              <w:contextualSpacing/>
              <w:jc w:val="center"/>
              <w:rPr>
                <w:rFonts w:hint="eastAsia" w:ascii="宋体" w:hAnsi="宋体" w:eastAsia="宋体"/>
                <w:sz w:val="20"/>
                <w:szCs w:val="20"/>
              </w:rPr>
            </w:pPr>
            <w:r>
              <w:rPr>
                <w:rFonts w:hint="eastAsia" w:ascii="宋体" w:hAnsi="宋体" w:eastAsia="宋体"/>
                <w:sz w:val="20"/>
                <w:szCs w:val="20"/>
              </w:rPr>
              <w:t>新闻/文章发布（单篇）</w:t>
            </w:r>
          </w:p>
          <w:p w14:paraId="2D1D3EA4">
            <w:pPr>
              <w:spacing w:line="520" w:lineRule="exact"/>
              <w:contextualSpacing/>
              <w:jc w:val="center"/>
              <w:rPr>
                <w:rFonts w:hint="eastAsia" w:ascii="宋体" w:hAnsi="宋体" w:eastAsia="宋体"/>
                <w:sz w:val="20"/>
                <w:szCs w:val="20"/>
              </w:rPr>
            </w:pPr>
            <w:r>
              <w:rPr>
                <w:rFonts w:hint="eastAsia" w:ascii="宋体" w:hAnsi="宋体" w:eastAsia="宋体"/>
                <w:sz w:val="20"/>
                <w:szCs w:val="20"/>
              </w:rPr>
              <w:t>（≤5篇/天）</w:t>
            </w:r>
          </w:p>
        </w:tc>
        <w:tc>
          <w:tcPr>
            <w:tcW w:w="709" w:type="dxa"/>
            <w:vAlign w:val="center"/>
          </w:tcPr>
          <w:p w14:paraId="55F8D34F">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w:t>
            </w:r>
          </w:p>
        </w:tc>
        <w:tc>
          <w:tcPr>
            <w:tcW w:w="4252" w:type="dxa"/>
            <w:vAlign w:val="center"/>
          </w:tcPr>
          <w:p w14:paraId="45CF68F6">
            <w:pPr>
              <w:spacing w:line="520" w:lineRule="exact"/>
              <w:contextualSpacing/>
              <w:rPr>
                <w:rFonts w:hint="eastAsia" w:ascii="宋体" w:hAnsi="宋体" w:eastAsia="宋体"/>
                <w:sz w:val="20"/>
                <w:szCs w:val="20"/>
              </w:rPr>
            </w:pPr>
            <w:r>
              <w:rPr>
                <w:rFonts w:hint="eastAsia" w:ascii="宋体" w:hAnsi="宋体" w:eastAsia="宋体"/>
                <w:sz w:val="20"/>
                <w:szCs w:val="20"/>
              </w:rPr>
              <w:t>内容文字2000字以内</w:t>
            </w:r>
          </w:p>
        </w:tc>
      </w:tr>
      <w:tr w14:paraId="0B0A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6228E5DE">
            <w:pPr>
              <w:spacing w:line="520" w:lineRule="exact"/>
              <w:contextualSpacing/>
              <w:rPr>
                <w:rFonts w:hint="eastAsia" w:ascii="宋体" w:hAnsi="宋体" w:eastAsia="宋体"/>
                <w:sz w:val="20"/>
                <w:szCs w:val="20"/>
              </w:rPr>
            </w:pPr>
          </w:p>
        </w:tc>
        <w:tc>
          <w:tcPr>
            <w:tcW w:w="2126" w:type="dxa"/>
            <w:vMerge w:val="continue"/>
            <w:vAlign w:val="center"/>
          </w:tcPr>
          <w:p w14:paraId="5607637E">
            <w:pPr>
              <w:spacing w:line="520" w:lineRule="exact"/>
              <w:contextualSpacing/>
              <w:jc w:val="center"/>
              <w:rPr>
                <w:rFonts w:hint="eastAsia" w:ascii="宋体" w:hAnsi="宋体" w:eastAsia="宋体"/>
                <w:sz w:val="20"/>
                <w:szCs w:val="20"/>
              </w:rPr>
            </w:pPr>
          </w:p>
        </w:tc>
        <w:tc>
          <w:tcPr>
            <w:tcW w:w="709" w:type="dxa"/>
            <w:vAlign w:val="center"/>
          </w:tcPr>
          <w:p w14:paraId="7480BD8D">
            <w:pPr>
              <w:spacing w:line="520" w:lineRule="exact"/>
              <w:contextualSpacing/>
              <w:jc w:val="center"/>
              <w:rPr>
                <w:rFonts w:hint="eastAsia" w:ascii="宋体" w:hAnsi="宋体" w:eastAsia="宋体"/>
                <w:sz w:val="20"/>
                <w:szCs w:val="20"/>
              </w:rPr>
            </w:pPr>
            <w:r>
              <w:rPr>
                <w:rFonts w:hint="eastAsia" w:ascii="宋体" w:hAnsi="宋体" w:eastAsia="宋体"/>
                <w:sz w:val="20"/>
                <w:szCs w:val="20"/>
              </w:rPr>
              <w:t>2</w:t>
            </w:r>
          </w:p>
        </w:tc>
        <w:tc>
          <w:tcPr>
            <w:tcW w:w="4252" w:type="dxa"/>
            <w:vAlign w:val="center"/>
          </w:tcPr>
          <w:p w14:paraId="09F4AFD4">
            <w:pPr>
              <w:spacing w:line="520" w:lineRule="exact"/>
              <w:contextualSpacing/>
              <w:rPr>
                <w:rFonts w:hint="eastAsia" w:ascii="宋体" w:hAnsi="宋体" w:eastAsia="宋体"/>
                <w:sz w:val="20"/>
                <w:szCs w:val="20"/>
              </w:rPr>
            </w:pPr>
            <w:r>
              <w:rPr>
                <w:rFonts w:hint="eastAsia" w:ascii="宋体" w:hAnsi="宋体" w:eastAsia="宋体"/>
                <w:sz w:val="20"/>
                <w:szCs w:val="20"/>
              </w:rPr>
              <w:t>图片≤5张</w:t>
            </w:r>
          </w:p>
        </w:tc>
      </w:tr>
      <w:tr w14:paraId="620D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1D281E46">
            <w:pPr>
              <w:spacing w:line="520" w:lineRule="exact"/>
              <w:contextualSpacing/>
              <w:rPr>
                <w:rFonts w:hint="eastAsia" w:ascii="宋体" w:hAnsi="宋体" w:eastAsia="宋体"/>
                <w:sz w:val="20"/>
                <w:szCs w:val="20"/>
              </w:rPr>
            </w:pPr>
          </w:p>
        </w:tc>
        <w:tc>
          <w:tcPr>
            <w:tcW w:w="2126" w:type="dxa"/>
            <w:vMerge w:val="continue"/>
            <w:vAlign w:val="center"/>
          </w:tcPr>
          <w:p w14:paraId="271E1FC0">
            <w:pPr>
              <w:spacing w:line="520" w:lineRule="exact"/>
              <w:contextualSpacing/>
              <w:jc w:val="center"/>
              <w:rPr>
                <w:rFonts w:hint="eastAsia" w:ascii="宋体" w:hAnsi="宋体" w:eastAsia="宋体"/>
                <w:sz w:val="20"/>
                <w:szCs w:val="20"/>
              </w:rPr>
            </w:pPr>
          </w:p>
        </w:tc>
        <w:tc>
          <w:tcPr>
            <w:tcW w:w="709" w:type="dxa"/>
            <w:vAlign w:val="center"/>
          </w:tcPr>
          <w:p w14:paraId="49B4C4B1">
            <w:pPr>
              <w:spacing w:line="520" w:lineRule="exact"/>
              <w:contextualSpacing/>
              <w:jc w:val="center"/>
              <w:rPr>
                <w:rFonts w:hint="eastAsia" w:ascii="宋体" w:hAnsi="宋体" w:eastAsia="宋体"/>
                <w:sz w:val="20"/>
                <w:szCs w:val="20"/>
              </w:rPr>
            </w:pPr>
            <w:r>
              <w:rPr>
                <w:rFonts w:hint="eastAsia" w:ascii="宋体" w:hAnsi="宋体" w:eastAsia="宋体"/>
                <w:sz w:val="20"/>
                <w:szCs w:val="20"/>
              </w:rPr>
              <w:t>3</w:t>
            </w:r>
          </w:p>
        </w:tc>
        <w:tc>
          <w:tcPr>
            <w:tcW w:w="4252" w:type="dxa"/>
            <w:vAlign w:val="center"/>
          </w:tcPr>
          <w:p w14:paraId="36EAA021">
            <w:pPr>
              <w:spacing w:line="520" w:lineRule="exact"/>
              <w:contextualSpacing/>
              <w:rPr>
                <w:rFonts w:hint="eastAsia" w:ascii="宋体" w:hAnsi="宋体" w:eastAsia="宋体"/>
                <w:sz w:val="20"/>
                <w:szCs w:val="20"/>
              </w:rPr>
            </w:pPr>
            <w:r>
              <w:rPr>
                <w:rFonts w:hint="eastAsia" w:ascii="宋体" w:hAnsi="宋体" w:eastAsia="宋体"/>
                <w:sz w:val="20"/>
                <w:szCs w:val="20"/>
              </w:rPr>
              <w:t>表格类≤50行</w:t>
            </w:r>
          </w:p>
        </w:tc>
      </w:tr>
      <w:tr w14:paraId="34C4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4A3F9FA5">
            <w:pPr>
              <w:spacing w:line="520" w:lineRule="exact"/>
              <w:contextualSpacing/>
              <w:rPr>
                <w:rFonts w:hint="eastAsia" w:ascii="宋体" w:hAnsi="宋体" w:eastAsia="宋体"/>
                <w:sz w:val="20"/>
                <w:szCs w:val="20"/>
              </w:rPr>
            </w:pPr>
          </w:p>
        </w:tc>
        <w:tc>
          <w:tcPr>
            <w:tcW w:w="2126" w:type="dxa"/>
            <w:vMerge w:val="continue"/>
            <w:vAlign w:val="center"/>
          </w:tcPr>
          <w:p w14:paraId="05DC60C0">
            <w:pPr>
              <w:spacing w:line="520" w:lineRule="exact"/>
              <w:contextualSpacing/>
              <w:jc w:val="center"/>
              <w:rPr>
                <w:rFonts w:hint="eastAsia" w:ascii="宋体" w:hAnsi="宋体" w:eastAsia="宋体"/>
                <w:sz w:val="20"/>
                <w:szCs w:val="20"/>
              </w:rPr>
            </w:pPr>
          </w:p>
        </w:tc>
        <w:tc>
          <w:tcPr>
            <w:tcW w:w="709" w:type="dxa"/>
            <w:vAlign w:val="center"/>
          </w:tcPr>
          <w:p w14:paraId="72785720">
            <w:pPr>
              <w:spacing w:line="520" w:lineRule="exact"/>
              <w:contextualSpacing/>
              <w:jc w:val="center"/>
              <w:rPr>
                <w:rFonts w:hint="eastAsia" w:ascii="宋体" w:hAnsi="宋体" w:eastAsia="宋体"/>
                <w:sz w:val="20"/>
                <w:szCs w:val="20"/>
              </w:rPr>
            </w:pPr>
            <w:r>
              <w:rPr>
                <w:rFonts w:hint="eastAsia" w:ascii="宋体" w:hAnsi="宋体" w:eastAsia="宋体"/>
                <w:sz w:val="20"/>
                <w:szCs w:val="20"/>
              </w:rPr>
              <w:t>4</w:t>
            </w:r>
          </w:p>
        </w:tc>
        <w:tc>
          <w:tcPr>
            <w:tcW w:w="4252" w:type="dxa"/>
            <w:vAlign w:val="center"/>
          </w:tcPr>
          <w:p w14:paraId="0DB35B5E">
            <w:pPr>
              <w:spacing w:line="520" w:lineRule="exact"/>
              <w:contextualSpacing/>
              <w:rPr>
                <w:rFonts w:hint="eastAsia" w:ascii="宋体" w:hAnsi="宋体" w:eastAsia="宋体"/>
                <w:sz w:val="20"/>
                <w:szCs w:val="20"/>
              </w:rPr>
            </w:pPr>
            <w:r>
              <w:rPr>
                <w:rFonts w:hint="eastAsia" w:ascii="宋体" w:hAnsi="宋体" w:eastAsia="宋体"/>
                <w:sz w:val="20"/>
                <w:szCs w:val="20"/>
              </w:rPr>
              <w:t>附件类≤10M</w:t>
            </w:r>
          </w:p>
        </w:tc>
      </w:tr>
      <w:tr w14:paraId="11B4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7EB743CB">
            <w:pPr>
              <w:spacing w:line="520" w:lineRule="exact"/>
              <w:contextualSpacing/>
              <w:rPr>
                <w:rFonts w:hint="eastAsia" w:ascii="宋体" w:hAnsi="宋体" w:eastAsia="宋体"/>
                <w:sz w:val="20"/>
                <w:szCs w:val="20"/>
              </w:rPr>
            </w:pPr>
          </w:p>
        </w:tc>
        <w:tc>
          <w:tcPr>
            <w:tcW w:w="2126" w:type="dxa"/>
            <w:vMerge w:val="continue"/>
            <w:vAlign w:val="center"/>
          </w:tcPr>
          <w:p w14:paraId="57B0C27F">
            <w:pPr>
              <w:spacing w:line="520" w:lineRule="exact"/>
              <w:contextualSpacing/>
              <w:jc w:val="center"/>
              <w:rPr>
                <w:rFonts w:hint="eastAsia" w:ascii="宋体" w:hAnsi="宋体" w:eastAsia="宋体"/>
                <w:sz w:val="20"/>
                <w:szCs w:val="20"/>
              </w:rPr>
            </w:pPr>
          </w:p>
        </w:tc>
        <w:tc>
          <w:tcPr>
            <w:tcW w:w="709" w:type="dxa"/>
            <w:vAlign w:val="center"/>
          </w:tcPr>
          <w:p w14:paraId="332276CD">
            <w:pPr>
              <w:spacing w:line="520" w:lineRule="exact"/>
              <w:contextualSpacing/>
              <w:jc w:val="center"/>
              <w:rPr>
                <w:rFonts w:hint="eastAsia" w:ascii="宋体" w:hAnsi="宋体" w:eastAsia="宋体"/>
                <w:sz w:val="20"/>
                <w:szCs w:val="20"/>
              </w:rPr>
            </w:pPr>
            <w:r>
              <w:rPr>
                <w:rFonts w:hint="eastAsia" w:ascii="宋体" w:hAnsi="宋体" w:eastAsia="宋体"/>
                <w:sz w:val="20"/>
                <w:szCs w:val="20"/>
              </w:rPr>
              <w:t>5</w:t>
            </w:r>
          </w:p>
        </w:tc>
        <w:tc>
          <w:tcPr>
            <w:tcW w:w="4252" w:type="dxa"/>
            <w:vAlign w:val="center"/>
          </w:tcPr>
          <w:p w14:paraId="4C346931">
            <w:pPr>
              <w:spacing w:line="520" w:lineRule="exact"/>
              <w:contextualSpacing/>
              <w:rPr>
                <w:rFonts w:hint="eastAsia" w:ascii="宋体" w:hAnsi="宋体" w:eastAsia="宋体"/>
                <w:sz w:val="20"/>
                <w:szCs w:val="20"/>
              </w:rPr>
            </w:pPr>
            <w:r>
              <w:rPr>
                <w:rFonts w:hint="eastAsia" w:ascii="宋体" w:hAnsi="宋体" w:eastAsia="宋体"/>
                <w:sz w:val="20"/>
                <w:szCs w:val="20"/>
              </w:rPr>
              <w:t>删除/修改（修改，单篇≤3次）</w:t>
            </w:r>
          </w:p>
        </w:tc>
      </w:tr>
      <w:tr w14:paraId="6614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restart"/>
            <w:vAlign w:val="center"/>
          </w:tcPr>
          <w:p w14:paraId="517A8013">
            <w:pPr>
              <w:spacing w:line="520" w:lineRule="exact"/>
              <w:contextualSpacing/>
              <w:jc w:val="center"/>
              <w:rPr>
                <w:rFonts w:hint="eastAsia" w:ascii="宋体" w:hAnsi="宋体" w:eastAsia="宋体"/>
                <w:sz w:val="20"/>
                <w:szCs w:val="20"/>
              </w:rPr>
            </w:pPr>
            <w:r>
              <w:rPr>
                <w:rFonts w:hint="eastAsia" w:ascii="宋体" w:hAnsi="宋体" w:eastAsia="宋体"/>
                <w:sz w:val="20"/>
                <w:szCs w:val="20"/>
              </w:rPr>
              <w:t>2</w:t>
            </w:r>
          </w:p>
        </w:tc>
        <w:tc>
          <w:tcPr>
            <w:tcW w:w="2126" w:type="dxa"/>
            <w:vMerge w:val="restart"/>
            <w:vAlign w:val="center"/>
          </w:tcPr>
          <w:p w14:paraId="639029E6">
            <w:pPr>
              <w:spacing w:line="520" w:lineRule="exact"/>
              <w:contextualSpacing/>
              <w:jc w:val="center"/>
              <w:rPr>
                <w:rFonts w:hint="eastAsia" w:ascii="宋体" w:hAnsi="宋体" w:eastAsia="宋体"/>
                <w:sz w:val="20"/>
                <w:szCs w:val="20"/>
              </w:rPr>
            </w:pPr>
            <w:r>
              <w:rPr>
                <w:rFonts w:hint="eastAsia" w:ascii="宋体" w:hAnsi="宋体" w:eastAsia="宋体"/>
                <w:sz w:val="20"/>
                <w:szCs w:val="20"/>
              </w:rPr>
              <w:t>栏目 增/删/改</w:t>
            </w:r>
          </w:p>
          <w:p w14:paraId="2CA443F5">
            <w:pPr>
              <w:spacing w:line="520" w:lineRule="exact"/>
              <w:contextualSpacing/>
              <w:jc w:val="center"/>
              <w:rPr>
                <w:rFonts w:hint="eastAsia" w:ascii="宋体" w:hAnsi="宋体" w:eastAsia="宋体"/>
                <w:sz w:val="20"/>
                <w:szCs w:val="20"/>
              </w:rPr>
            </w:pPr>
            <w:r>
              <w:rPr>
                <w:rFonts w:hint="eastAsia" w:ascii="宋体" w:hAnsi="宋体" w:eastAsia="宋体"/>
                <w:sz w:val="20"/>
                <w:szCs w:val="20"/>
              </w:rPr>
              <w:t>（≤2个/天）</w:t>
            </w:r>
          </w:p>
        </w:tc>
        <w:tc>
          <w:tcPr>
            <w:tcW w:w="709" w:type="dxa"/>
            <w:vAlign w:val="center"/>
          </w:tcPr>
          <w:p w14:paraId="34CFDAF5">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w:t>
            </w:r>
          </w:p>
        </w:tc>
        <w:tc>
          <w:tcPr>
            <w:tcW w:w="4252" w:type="dxa"/>
            <w:vAlign w:val="center"/>
          </w:tcPr>
          <w:p w14:paraId="250FB163">
            <w:pPr>
              <w:spacing w:line="520" w:lineRule="exact"/>
              <w:contextualSpacing/>
              <w:rPr>
                <w:rFonts w:hint="eastAsia" w:ascii="宋体" w:hAnsi="宋体" w:eastAsia="宋体"/>
                <w:sz w:val="20"/>
                <w:szCs w:val="20"/>
              </w:rPr>
            </w:pPr>
            <w:r>
              <w:rPr>
                <w:rFonts w:hint="eastAsia" w:ascii="宋体" w:hAnsi="宋体" w:eastAsia="宋体"/>
                <w:sz w:val="20"/>
                <w:szCs w:val="20"/>
              </w:rPr>
              <w:t>不调整页面</w:t>
            </w:r>
          </w:p>
        </w:tc>
      </w:tr>
      <w:tr w14:paraId="6D01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4B1F9FF1">
            <w:pPr>
              <w:spacing w:line="520" w:lineRule="exact"/>
              <w:contextualSpacing/>
              <w:rPr>
                <w:rFonts w:hint="eastAsia" w:ascii="宋体" w:hAnsi="宋体" w:eastAsia="宋体"/>
                <w:sz w:val="20"/>
                <w:szCs w:val="20"/>
              </w:rPr>
            </w:pPr>
          </w:p>
        </w:tc>
        <w:tc>
          <w:tcPr>
            <w:tcW w:w="2126" w:type="dxa"/>
            <w:vMerge w:val="continue"/>
            <w:vAlign w:val="center"/>
          </w:tcPr>
          <w:p w14:paraId="1747CA94">
            <w:pPr>
              <w:spacing w:line="520" w:lineRule="exact"/>
              <w:contextualSpacing/>
              <w:jc w:val="center"/>
              <w:rPr>
                <w:rFonts w:hint="eastAsia" w:ascii="宋体" w:hAnsi="宋体" w:eastAsia="宋体"/>
                <w:sz w:val="20"/>
                <w:szCs w:val="20"/>
              </w:rPr>
            </w:pPr>
          </w:p>
        </w:tc>
        <w:tc>
          <w:tcPr>
            <w:tcW w:w="709" w:type="dxa"/>
            <w:vAlign w:val="center"/>
          </w:tcPr>
          <w:p w14:paraId="38334411">
            <w:pPr>
              <w:spacing w:line="520" w:lineRule="exact"/>
              <w:contextualSpacing/>
              <w:jc w:val="center"/>
              <w:rPr>
                <w:rFonts w:hint="eastAsia" w:ascii="宋体" w:hAnsi="宋体" w:eastAsia="宋体"/>
                <w:sz w:val="20"/>
                <w:szCs w:val="20"/>
              </w:rPr>
            </w:pPr>
            <w:r>
              <w:rPr>
                <w:rFonts w:hint="eastAsia" w:ascii="宋体" w:hAnsi="宋体" w:eastAsia="宋体"/>
                <w:sz w:val="20"/>
                <w:szCs w:val="20"/>
              </w:rPr>
              <w:t>2</w:t>
            </w:r>
          </w:p>
        </w:tc>
        <w:tc>
          <w:tcPr>
            <w:tcW w:w="4252" w:type="dxa"/>
            <w:vAlign w:val="center"/>
          </w:tcPr>
          <w:p w14:paraId="21C711C6">
            <w:pPr>
              <w:spacing w:line="520" w:lineRule="exact"/>
              <w:contextualSpacing/>
              <w:rPr>
                <w:rFonts w:hint="eastAsia" w:ascii="宋体" w:hAnsi="宋体" w:eastAsia="宋体"/>
                <w:sz w:val="20"/>
                <w:szCs w:val="20"/>
              </w:rPr>
            </w:pPr>
            <w:r>
              <w:rPr>
                <w:rFonts w:hint="eastAsia" w:ascii="宋体" w:hAnsi="宋体" w:eastAsia="宋体"/>
                <w:sz w:val="20"/>
                <w:szCs w:val="20"/>
              </w:rPr>
              <w:t>栏目模块可直接增/删/改 不影响页面样式</w:t>
            </w:r>
          </w:p>
        </w:tc>
      </w:tr>
      <w:tr w14:paraId="0023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95" w:type="dxa"/>
            <w:vMerge w:val="continue"/>
            <w:vAlign w:val="center"/>
          </w:tcPr>
          <w:p w14:paraId="74176E0A">
            <w:pPr>
              <w:spacing w:line="520" w:lineRule="exact"/>
              <w:contextualSpacing/>
              <w:rPr>
                <w:rFonts w:hint="eastAsia" w:ascii="宋体" w:hAnsi="宋体" w:eastAsia="宋体"/>
                <w:sz w:val="20"/>
                <w:szCs w:val="20"/>
              </w:rPr>
            </w:pPr>
          </w:p>
        </w:tc>
        <w:tc>
          <w:tcPr>
            <w:tcW w:w="2126" w:type="dxa"/>
            <w:vMerge w:val="continue"/>
            <w:vAlign w:val="center"/>
          </w:tcPr>
          <w:p w14:paraId="41E56773">
            <w:pPr>
              <w:spacing w:line="520" w:lineRule="exact"/>
              <w:contextualSpacing/>
              <w:jc w:val="center"/>
              <w:rPr>
                <w:rFonts w:hint="eastAsia" w:ascii="宋体" w:hAnsi="宋体" w:eastAsia="宋体"/>
                <w:sz w:val="20"/>
                <w:szCs w:val="20"/>
              </w:rPr>
            </w:pPr>
          </w:p>
        </w:tc>
        <w:tc>
          <w:tcPr>
            <w:tcW w:w="709" w:type="dxa"/>
            <w:vAlign w:val="center"/>
          </w:tcPr>
          <w:p w14:paraId="18BE7D52">
            <w:pPr>
              <w:spacing w:line="520" w:lineRule="exact"/>
              <w:contextualSpacing/>
              <w:jc w:val="center"/>
              <w:rPr>
                <w:rFonts w:hint="eastAsia" w:ascii="宋体" w:hAnsi="宋体" w:eastAsia="宋体"/>
                <w:sz w:val="20"/>
                <w:szCs w:val="20"/>
              </w:rPr>
            </w:pPr>
            <w:r>
              <w:rPr>
                <w:rFonts w:hint="eastAsia" w:ascii="宋体" w:hAnsi="宋体" w:eastAsia="宋体"/>
                <w:sz w:val="20"/>
                <w:szCs w:val="20"/>
              </w:rPr>
              <w:t>3</w:t>
            </w:r>
          </w:p>
        </w:tc>
        <w:tc>
          <w:tcPr>
            <w:tcW w:w="4252" w:type="dxa"/>
            <w:vAlign w:val="center"/>
          </w:tcPr>
          <w:p w14:paraId="5EDA84C2">
            <w:pPr>
              <w:spacing w:line="520" w:lineRule="exact"/>
              <w:contextualSpacing/>
              <w:rPr>
                <w:rFonts w:hint="eastAsia" w:ascii="宋体" w:hAnsi="宋体" w:eastAsia="宋体"/>
                <w:sz w:val="20"/>
                <w:szCs w:val="20"/>
              </w:rPr>
            </w:pPr>
            <w:r>
              <w:rPr>
                <w:rFonts w:hint="eastAsia" w:ascii="宋体" w:hAnsi="宋体" w:eastAsia="宋体"/>
                <w:sz w:val="20"/>
                <w:szCs w:val="20"/>
              </w:rPr>
              <w:t>栏目模块增/删/改 需调整页面样式（仅适用于调整栏目顺序/位置）</w:t>
            </w:r>
          </w:p>
        </w:tc>
      </w:tr>
      <w:tr w14:paraId="5FDD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restart"/>
            <w:vAlign w:val="center"/>
          </w:tcPr>
          <w:p w14:paraId="7F7D65C3">
            <w:pPr>
              <w:spacing w:line="520" w:lineRule="exact"/>
              <w:contextualSpacing/>
              <w:jc w:val="center"/>
              <w:rPr>
                <w:rFonts w:hint="eastAsia" w:ascii="宋体" w:hAnsi="宋体" w:eastAsia="宋体"/>
                <w:sz w:val="20"/>
                <w:szCs w:val="20"/>
              </w:rPr>
            </w:pPr>
            <w:r>
              <w:rPr>
                <w:rFonts w:hint="eastAsia" w:ascii="宋体" w:hAnsi="宋体" w:eastAsia="宋体"/>
                <w:sz w:val="20"/>
                <w:szCs w:val="20"/>
              </w:rPr>
              <w:t>3</w:t>
            </w:r>
          </w:p>
        </w:tc>
        <w:tc>
          <w:tcPr>
            <w:tcW w:w="2126" w:type="dxa"/>
            <w:vMerge w:val="restart"/>
            <w:vAlign w:val="center"/>
          </w:tcPr>
          <w:p w14:paraId="08B5DD76">
            <w:pPr>
              <w:spacing w:line="520" w:lineRule="exact"/>
              <w:contextualSpacing/>
              <w:jc w:val="center"/>
              <w:rPr>
                <w:rFonts w:hint="eastAsia" w:ascii="宋体" w:hAnsi="宋体" w:eastAsia="宋体"/>
                <w:sz w:val="20"/>
                <w:szCs w:val="20"/>
              </w:rPr>
            </w:pPr>
            <w:r>
              <w:rPr>
                <w:rFonts w:hint="eastAsia" w:ascii="宋体" w:hAnsi="宋体" w:eastAsia="宋体"/>
                <w:sz w:val="20"/>
                <w:szCs w:val="20"/>
              </w:rPr>
              <w:t>站点地图</w:t>
            </w:r>
          </w:p>
          <w:p w14:paraId="43FD9DDB">
            <w:pPr>
              <w:spacing w:line="520" w:lineRule="exact"/>
              <w:contextualSpacing/>
              <w:jc w:val="center"/>
              <w:rPr>
                <w:rFonts w:hint="eastAsia" w:ascii="宋体" w:hAnsi="宋体" w:eastAsia="宋体"/>
                <w:sz w:val="20"/>
                <w:szCs w:val="20"/>
              </w:rPr>
            </w:pPr>
            <w:r>
              <w:rPr>
                <w:rFonts w:hint="eastAsia" w:ascii="宋体" w:hAnsi="宋体" w:eastAsia="宋体"/>
                <w:sz w:val="20"/>
                <w:szCs w:val="20"/>
              </w:rPr>
              <w:t>（≤2个/天）</w:t>
            </w:r>
          </w:p>
        </w:tc>
        <w:tc>
          <w:tcPr>
            <w:tcW w:w="709" w:type="dxa"/>
            <w:vAlign w:val="center"/>
          </w:tcPr>
          <w:p w14:paraId="739DB7EB">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w:t>
            </w:r>
          </w:p>
        </w:tc>
        <w:tc>
          <w:tcPr>
            <w:tcW w:w="4252" w:type="dxa"/>
            <w:vAlign w:val="center"/>
          </w:tcPr>
          <w:p w14:paraId="04A598A7">
            <w:pPr>
              <w:spacing w:line="520" w:lineRule="exact"/>
              <w:contextualSpacing/>
              <w:rPr>
                <w:rFonts w:hint="eastAsia" w:ascii="宋体" w:hAnsi="宋体" w:eastAsia="宋体"/>
                <w:sz w:val="20"/>
                <w:szCs w:val="20"/>
              </w:rPr>
            </w:pPr>
            <w:r>
              <w:rPr>
                <w:rFonts w:hint="eastAsia" w:ascii="宋体" w:hAnsi="宋体" w:eastAsia="宋体"/>
                <w:sz w:val="20"/>
                <w:szCs w:val="20"/>
              </w:rPr>
              <w:t>不调整页面</w:t>
            </w:r>
          </w:p>
        </w:tc>
      </w:tr>
      <w:tr w14:paraId="19D8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60490AFE">
            <w:pPr>
              <w:spacing w:line="520" w:lineRule="exact"/>
              <w:contextualSpacing/>
              <w:rPr>
                <w:rFonts w:hint="eastAsia" w:ascii="宋体" w:hAnsi="宋体" w:eastAsia="宋体"/>
                <w:sz w:val="20"/>
                <w:szCs w:val="20"/>
              </w:rPr>
            </w:pPr>
          </w:p>
        </w:tc>
        <w:tc>
          <w:tcPr>
            <w:tcW w:w="2126" w:type="dxa"/>
            <w:vMerge w:val="continue"/>
            <w:vAlign w:val="center"/>
          </w:tcPr>
          <w:p w14:paraId="6D379434">
            <w:pPr>
              <w:spacing w:line="520" w:lineRule="exact"/>
              <w:contextualSpacing/>
              <w:jc w:val="center"/>
              <w:rPr>
                <w:rFonts w:hint="eastAsia" w:ascii="宋体" w:hAnsi="宋体" w:eastAsia="宋体"/>
                <w:sz w:val="20"/>
                <w:szCs w:val="20"/>
              </w:rPr>
            </w:pPr>
          </w:p>
        </w:tc>
        <w:tc>
          <w:tcPr>
            <w:tcW w:w="709" w:type="dxa"/>
            <w:vAlign w:val="center"/>
          </w:tcPr>
          <w:p w14:paraId="083D783E">
            <w:pPr>
              <w:spacing w:line="520" w:lineRule="exact"/>
              <w:contextualSpacing/>
              <w:jc w:val="center"/>
              <w:rPr>
                <w:rFonts w:hint="eastAsia" w:ascii="宋体" w:hAnsi="宋体" w:eastAsia="宋体"/>
                <w:sz w:val="20"/>
                <w:szCs w:val="20"/>
              </w:rPr>
            </w:pPr>
            <w:r>
              <w:rPr>
                <w:rFonts w:hint="eastAsia" w:ascii="宋体" w:hAnsi="宋体" w:eastAsia="宋体"/>
                <w:sz w:val="20"/>
                <w:szCs w:val="20"/>
              </w:rPr>
              <w:t>2</w:t>
            </w:r>
          </w:p>
        </w:tc>
        <w:tc>
          <w:tcPr>
            <w:tcW w:w="4252" w:type="dxa"/>
            <w:vAlign w:val="center"/>
          </w:tcPr>
          <w:p w14:paraId="393AA4FC">
            <w:pPr>
              <w:spacing w:line="520" w:lineRule="exact"/>
              <w:contextualSpacing/>
              <w:rPr>
                <w:rFonts w:hint="eastAsia" w:ascii="宋体" w:hAnsi="宋体" w:eastAsia="宋体"/>
                <w:sz w:val="20"/>
                <w:szCs w:val="20"/>
              </w:rPr>
            </w:pPr>
            <w:r>
              <w:rPr>
                <w:rFonts w:hint="eastAsia" w:ascii="宋体" w:hAnsi="宋体" w:eastAsia="宋体"/>
                <w:sz w:val="20"/>
                <w:szCs w:val="20"/>
              </w:rPr>
              <w:t>栏目模块可直接增/删/改 不影响页面样式</w:t>
            </w:r>
          </w:p>
        </w:tc>
      </w:tr>
      <w:tr w14:paraId="72A4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95" w:type="dxa"/>
            <w:vMerge w:val="continue"/>
            <w:vAlign w:val="center"/>
          </w:tcPr>
          <w:p w14:paraId="16950D02">
            <w:pPr>
              <w:spacing w:line="520" w:lineRule="exact"/>
              <w:contextualSpacing/>
              <w:rPr>
                <w:rFonts w:hint="eastAsia" w:ascii="宋体" w:hAnsi="宋体" w:eastAsia="宋体"/>
                <w:sz w:val="20"/>
                <w:szCs w:val="20"/>
              </w:rPr>
            </w:pPr>
          </w:p>
        </w:tc>
        <w:tc>
          <w:tcPr>
            <w:tcW w:w="2126" w:type="dxa"/>
            <w:vMerge w:val="continue"/>
            <w:vAlign w:val="center"/>
          </w:tcPr>
          <w:p w14:paraId="6F20D227">
            <w:pPr>
              <w:spacing w:line="520" w:lineRule="exact"/>
              <w:contextualSpacing/>
              <w:jc w:val="center"/>
              <w:rPr>
                <w:rFonts w:hint="eastAsia" w:ascii="宋体" w:hAnsi="宋体" w:eastAsia="宋体"/>
                <w:sz w:val="20"/>
                <w:szCs w:val="20"/>
              </w:rPr>
            </w:pPr>
          </w:p>
        </w:tc>
        <w:tc>
          <w:tcPr>
            <w:tcW w:w="709" w:type="dxa"/>
            <w:vAlign w:val="center"/>
          </w:tcPr>
          <w:p w14:paraId="592B067F">
            <w:pPr>
              <w:spacing w:line="520" w:lineRule="exact"/>
              <w:contextualSpacing/>
              <w:jc w:val="center"/>
              <w:rPr>
                <w:rFonts w:hint="eastAsia" w:ascii="宋体" w:hAnsi="宋体" w:eastAsia="宋体"/>
                <w:sz w:val="20"/>
                <w:szCs w:val="20"/>
              </w:rPr>
            </w:pPr>
            <w:r>
              <w:rPr>
                <w:rFonts w:hint="eastAsia" w:ascii="宋体" w:hAnsi="宋体" w:eastAsia="宋体"/>
                <w:sz w:val="20"/>
                <w:szCs w:val="20"/>
              </w:rPr>
              <w:t>3</w:t>
            </w:r>
          </w:p>
        </w:tc>
        <w:tc>
          <w:tcPr>
            <w:tcW w:w="4252" w:type="dxa"/>
            <w:vAlign w:val="center"/>
          </w:tcPr>
          <w:p w14:paraId="62A5185E">
            <w:pPr>
              <w:spacing w:line="520" w:lineRule="exact"/>
              <w:contextualSpacing/>
              <w:rPr>
                <w:rFonts w:hint="eastAsia" w:ascii="宋体" w:hAnsi="宋体" w:eastAsia="宋体"/>
                <w:sz w:val="20"/>
                <w:szCs w:val="20"/>
              </w:rPr>
            </w:pPr>
            <w:r>
              <w:rPr>
                <w:rFonts w:hint="eastAsia" w:ascii="宋体" w:hAnsi="宋体" w:eastAsia="宋体"/>
                <w:sz w:val="20"/>
                <w:szCs w:val="20"/>
              </w:rPr>
              <w:t>栏目模块增/删/改 需调整页面样式（仅适用于调整顺序/位置）</w:t>
            </w:r>
          </w:p>
        </w:tc>
      </w:tr>
      <w:tr w14:paraId="4C2F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Align w:val="center"/>
          </w:tcPr>
          <w:p w14:paraId="328DFDEB">
            <w:pPr>
              <w:spacing w:line="520" w:lineRule="exact"/>
              <w:contextualSpacing/>
              <w:jc w:val="center"/>
              <w:rPr>
                <w:rFonts w:hint="eastAsia" w:ascii="宋体" w:hAnsi="宋体" w:eastAsia="宋体"/>
                <w:sz w:val="20"/>
                <w:szCs w:val="20"/>
              </w:rPr>
            </w:pPr>
            <w:r>
              <w:rPr>
                <w:rFonts w:hint="eastAsia" w:ascii="宋体" w:hAnsi="宋体" w:eastAsia="宋体"/>
                <w:sz w:val="20"/>
                <w:szCs w:val="20"/>
              </w:rPr>
              <w:t>4</w:t>
            </w:r>
          </w:p>
        </w:tc>
        <w:tc>
          <w:tcPr>
            <w:tcW w:w="2126" w:type="dxa"/>
            <w:vAlign w:val="center"/>
          </w:tcPr>
          <w:p w14:paraId="0C52F245">
            <w:pPr>
              <w:spacing w:line="520" w:lineRule="exact"/>
              <w:contextualSpacing/>
              <w:jc w:val="center"/>
              <w:rPr>
                <w:rFonts w:hint="eastAsia" w:ascii="宋体" w:hAnsi="宋体" w:eastAsia="宋体"/>
                <w:sz w:val="20"/>
                <w:szCs w:val="20"/>
              </w:rPr>
            </w:pPr>
            <w:r>
              <w:rPr>
                <w:rFonts w:hint="eastAsia" w:ascii="宋体" w:hAnsi="宋体" w:eastAsia="宋体"/>
                <w:sz w:val="20"/>
                <w:szCs w:val="20"/>
              </w:rPr>
              <w:t>角色设置</w:t>
            </w:r>
          </w:p>
        </w:tc>
        <w:tc>
          <w:tcPr>
            <w:tcW w:w="709" w:type="dxa"/>
            <w:vAlign w:val="center"/>
          </w:tcPr>
          <w:p w14:paraId="652508FF">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w:t>
            </w:r>
          </w:p>
        </w:tc>
        <w:tc>
          <w:tcPr>
            <w:tcW w:w="4252" w:type="dxa"/>
            <w:vAlign w:val="center"/>
          </w:tcPr>
          <w:p w14:paraId="58D706DC">
            <w:pPr>
              <w:spacing w:line="520" w:lineRule="exact"/>
              <w:contextualSpacing/>
              <w:rPr>
                <w:rFonts w:hint="eastAsia" w:ascii="宋体" w:hAnsi="宋体" w:eastAsia="宋体"/>
                <w:sz w:val="20"/>
                <w:szCs w:val="20"/>
              </w:rPr>
            </w:pPr>
            <w:r>
              <w:rPr>
                <w:rFonts w:hint="eastAsia" w:ascii="宋体" w:hAnsi="宋体" w:eastAsia="宋体"/>
                <w:sz w:val="20"/>
                <w:szCs w:val="20"/>
              </w:rPr>
              <w:t>角色 增/删/改（修改，≤3次/1天）</w:t>
            </w:r>
          </w:p>
        </w:tc>
      </w:tr>
      <w:tr w14:paraId="21A6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Align w:val="center"/>
          </w:tcPr>
          <w:p w14:paraId="45E521AC">
            <w:pPr>
              <w:spacing w:line="520" w:lineRule="exact"/>
              <w:contextualSpacing/>
              <w:jc w:val="center"/>
              <w:rPr>
                <w:rFonts w:hint="eastAsia" w:ascii="宋体" w:hAnsi="宋体" w:eastAsia="宋体"/>
                <w:sz w:val="20"/>
                <w:szCs w:val="20"/>
              </w:rPr>
            </w:pPr>
            <w:r>
              <w:rPr>
                <w:rFonts w:hint="eastAsia" w:ascii="宋体" w:hAnsi="宋体" w:eastAsia="宋体"/>
                <w:sz w:val="20"/>
                <w:szCs w:val="20"/>
              </w:rPr>
              <w:t>5</w:t>
            </w:r>
          </w:p>
        </w:tc>
        <w:tc>
          <w:tcPr>
            <w:tcW w:w="2126" w:type="dxa"/>
            <w:vAlign w:val="center"/>
          </w:tcPr>
          <w:p w14:paraId="02498CEB">
            <w:pPr>
              <w:spacing w:line="520" w:lineRule="exact"/>
              <w:contextualSpacing/>
              <w:jc w:val="center"/>
              <w:rPr>
                <w:rFonts w:hint="eastAsia" w:ascii="宋体" w:hAnsi="宋体" w:eastAsia="宋体"/>
                <w:sz w:val="20"/>
                <w:szCs w:val="20"/>
              </w:rPr>
            </w:pPr>
            <w:r>
              <w:rPr>
                <w:rFonts w:hint="eastAsia" w:ascii="宋体" w:hAnsi="宋体" w:eastAsia="宋体"/>
                <w:sz w:val="20"/>
                <w:szCs w:val="20"/>
              </w:rPr>
              <w:t>权限设置</w:t>
            </w:r>
          </w:p>
        </w:tc>
        <w:tc>
          <w:tcPr>
            <w:tcW w:w="709" w:type="dxa"/>
            <w:vAlign w:val="center"/>
          </w:tcPr>
          <w:p w14:paraId="5AAFC725">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w:t>
            </w:r>
          </w:p>
        </w:tc>
        <w:tc>
          <w:tcPr>
            <w:tcW w:w="4252" w:type="dxa"/>
            <w:vAlign w:val="center"/>
          </w:tcPr>
          <w:p w14:paraId="2477C3FE">
            <w:pPr>
              <w:spacing w:line="520" w:lineRule="exact"/>
              <w:contextualSpacing/>
              <w:rPr>
                <w:rFonts w:hint="eastAsia" w:ascii="宋体" w:hAnsi="宋体" w:eastAsia="宋体"/>
                <w:sz w:val="20"/>
                <w:szCs w:val="20"/>
              </w:rPr>
            </w:pPr>
            <w:r>
              <w:rPr>
                <w:rFonts w:hint="eastAsia" w:ascii="宋体" w:hAnsi="宋体" w:eastAsia="宋体"/>
                <w:sz w:val="20"/>
                <w:szCs w:val="20"/>
              </w:rPr>
              <w:t>权限 增/删/改（修改，≤3次/1天）</w:t>
            </w:r>
          </w:p>
        </w:tc>
      </w:tr>
      <w:tr w14:paraId="3519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Align w:val="center"/>
          </w:tcPr>
          <w:p w14:paraId="10745EF3">
            <w:pPr>
              <w:spacing w:line="520" w:lineRule="exact"/>
              <w:contextualSpacing/>
              <w:jc w:val="center"/>
              <w:rPr>
                <w:rFonts w:hint="eastAsia" w:ascii="宋体" w:hAnsi="宋体" w:eastAsia="宋体"/>
                <w:sz w:val="20"/>
                <w:szCs w:val="20"/>
              </w:rPr>
            </w:pPr>
            <w:r>
              <w:rPr>
                <w:rFonts w:hint="eastAsia" w:ascii="宋体" w:hAnsi="宋体" w:eastAsia="宋体"/>
                <w:sz w:val="20"/>
                <w:szCs w:val="20"/>
              </w:rPr>
              <w:t>6</w:t>
            </w:r>
          </w:p>
        </w:tc>
        <w:tc>
          <w:tcPr>
            <w:tcW w:w="2126" w:type="dxa"/>
            <w:vAlign w:val="center"/>
          </w:tcPr>
          <w:p w14:paraId="5B6B4EC4">
            <w:pPr>
              <w:spacing w:line="520" w:lineRule="exact"/>
              <w:contextualSpacing/>
              <w:jc w:val="center"/>
              <w:rPr>
                <w:rFonts w:hint="eastAsia" w:ascii="宋体" w:hAnsi="宋体" w:eastAsia="宋体"/>
                <w:sz w:val="20"/>
                <w:szCs w:val="20"/>
              </w:rPr>
            </w:pPr>
            <w:r>
              <w:rPr>
                <w:rFonts w:hint="eastAsia" w:ascii="宋体" w:hAnsi="宋体" w:eastAsia="宋体"/>
                <w:sz w:val="20"/>
                <w:szCs w:val="20"/>
              </w:rPr>
              <w:t>用户设置</w:t>
            </w:r>
          </w:p>
        </w:tc>
        <w:tc>
          <w:tcPr>
            <w:tcW w:w="709" w:type="dxa"/>
            <w:vAlign w:val="center"/>
          </w:tcPr>
          <w:p w14:paraId="3EB9A1C6">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w:t>
            </w:r>
          </w:p>
        </w:tc>
        <w:tc>
          <w:tcPr>
            <w:tcW w:w="4252" w:type="dxa"/>
            <w:vAlign w:val="center"/>
          </w:tcPr>
          <w:p w14:paraId="72800A55">
            <w:pPr>
              <w:spacing w:line="520" w:lineRule="exact"/>
              <w:contextualSpacing/>
              <w:rPr>
                <w:rFonts w:hint="eastAsia" w:ascii="宋体" w:hAnsi="宋体" w:eastAsia="宋体"/>
                <w:sz w:val="20"/>
                <w:szCs w:val="20"/>
              </w:rPr>
            </w:pPr>
            <w:r>
              <w:rPr>
                <w:rFonts w:hint="eastAsia" w:ascii="宋体" w:hAnsi="宋体" w:eastAsia="宋体"/>
                <w:sz w:val="20"/>
                <w:szCs w:val="20"/>
              </w:rPr>
              <w:t>用户 增/删/改（修改，≤3次/1天）</w:t>
            </w:r>
          </w:p>
        </w:tc>
      </w:tr>
      <w:tr w14:paraId="1460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5" w:type="dxa"/>
            <w:vMerge w:val="restart"/>
            <w:vAlign w:val="center"/>
          </w:tcPr>
          <w:p w14:paraId="2A24F195">
            <w:pPr>
              <w:spacing w:line="520" w:lineRule="exact"/>
              <w:contextualSpacing/>
              <w:jc w:val="center"/>
              <w:rPr>
                <w:rFonts w:hint="eastAsia" w:ascii="宋体" w:hAnsi="宋体" w:eastAsia="宋体"/>
                <w:sz w:val="20"/>
                <w:szCs w:val="20"/>
              </w:rPr>
            </w:pPr>
            <w:r>
              <w:rPr>
                <w:rFonts w:hint="eastAsia" w:ascii="宋体" w:hAnsi="宋体" w:eastAsia="宋体"/>
                <w:sz w:val="20"/>
                <w:szCs w:val="20"/>
              </w:rPr>
              <w:t>7</w:t>
            </w:r>
          </w:p>
        </w:tc>
        <w:tc>
          <w:tcPr>
            <w:tcW w:w="2126" w:type="dxa"/>
            <w:vMerge w:val="restart"/>
            <w:vAlign w:val="center"/>
          </w:tcPr>
          <w:p w14:paraId="6654B5CC">
            <w:pPr>
              <w:spacing w:line="520" w:lineRule="exact"/>
              <w:contextualSpacing/>
              <w:jc w:val="center"/>
              <w:rPr>
                <w:rFonts w:hint="eastAsia" w:ascii="宋体" w:hAnsi="宋体" w:eastAsia="宋体"/>
                <w:sz w:val="20"/>
                <w:szCs w:val="20"/>
              </w:rPr>
            </w:pPr>
            <w:r>
              <w:rPr>
                <w:rFonts w:hint="eastAsia" w:ascii="宋体" w:hAnsi="宋体" w:eastAsia="宋体"/>
                <w:sz w:val="20"/>
                <w:szCs w:val="20"/>
              </w:rPr>
              <w:t>科室</w:t>
            </w:r>
          </w:p>
          <w:p w14:paraId="5ACF36B0">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（≤10个/天）</w:t>
            </w:r>
          </w:p>
        </w:tc>
        <w:tc>
          <w:tcPr>
            <w:tcW w:w="709" w:type="dxa"/>
            <w:vAlign w:val="center"/>
          </w:tcPr>
          <w:p w14:paraId="5A71E723">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w:t>
            </w:r>
          </w:p>
        </w:tc>
        <w:tc>
          <w:tcPr>
            <w:tcW w:w="4252" w:type="dxa"/>
            <w:vAlign w:val="center"/>
          </w:tcPr>
          <w:p w14:paraId="5EBD0474">
            <w:pPr>
              <w:spacing w:line="520" w:lineRule="exact"/>
              <w:contextualSpacing/>
              <w:rPr>
                <w:rFonts w:hint="eastAsia" w:ascii="宋体" w:hAnsi="宋体" w:eastAsia="宋体"/>
                <w:sz w:val="20"/>
                <w:szCs w:val="20"/>
              </w:rPr>
            </w:pPr>
            <w:r>
              <w:rPr>
                <w:rFonts w:hint="eastAsia" w:ascii="宋体" w:hAnsi="宋体" w:eastAsia="宋体"/>
                <w:sz w:val="20"/>
                <w:szCs w:val="20"/>
              </w:rPr>
              <w:t>科室简介更新（简介、封面图、特色、联系方式、科室类型、是否开启问答等）</w:t>
            </w:r>
          </w:p>
        </w:tc>
      </w:tr>
      <w:tr w14:paraId="44EA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95" w:type="dxa"/>
            <w:vMerge w:val="continue"/>
            <w:vAlign w:val="center"/>
          </w:tcPr>
          <w:p w14:paraId="5C1B240D">
            <w:pPr>
              <w:spacing w:line="520" w:lineRule="exact"/>
              <w:contextualSpacing/>
              <w:rPr>
                <w:rFonts w:hint="eastAsia" w:ascii="宋体" w:hAnsi="宋体" w:eastAsia="宋体"/>
                <w:sz w:val="20"/>
                <w:szCs w:val="20"/>
              </w:rPr>
            </w:pPr>
          </w:p>
        </w:tc>
        <w:tc>
          <w:tcPr>
            <w:tcW w:w="2126" w:type="dxa"/>
            <w:vMerge w:val="continue"/>
            <w:vAlign w:val="center"/>
          </w:tcPr>
          <w:p w14:paraId="1842FFCF">
            <w:pPr>
              <w:spacing w:line="520" w:lineRule="exact"/>
              <w:contextualSpacing/>
              <w:rPr>
                <w:rFonts w:hint="eastAsia" w:ascii="宋体" w:hAnsi="宋体" w:eastAsia="宋体"/>
                <w:sz w:val="20"/>
                <w:szCs w:val="20"/>
              </w:rPr>
            </w:pPr>
          </w:p>
        </w:tc>
        <w:tc>
          <w:tcPr>
            <w:tcW w:w="709" w:type="dxa"/>
            <w:vAlign w:val="center"/>
          </w:tcPr>
          <w:p w14:paraId="5D5C700E">
            <w:pPr>
              <w:spacing w:line="520" w:lineRule="exact"/>
              <w:contextualSpacing/>
              <w:jc w:val="center"/>
              <w:rPr>
                <w:rFonts w:hint="eastAsia" w:ascii="宋体" w:hAnsi="宋体" w:eastAsia="宋体"/>
                <w:sz w:val="20"/>
                <w:szCs w:val="20"/>
              </w:rPr>
            </w:pPr>
            <w:r>
              <w:rPr>
                <w:rFonts w:hint="eastAsia" w:ascii="宋体" w:hAnsi="宋体" w:eastAsia="宋体"/>
                <w:sz w:val="20"/>
                <w:szCs w:val="20"/>
              </w:rPr>
              <w:t>2</w:t>
            </w:r>
          </w:p>
        </w:tc>
        <w:tc>
          <w:tcPr>
            <w:tcW w:w="4252" w:type="dxa"/>
            <w:vAlign w:val="center"/>
          </w:tcPr>
          <w:p w14:paraId="3E43AA58">
            <w:pPr>
              <w:spacing w:line="520" w:lineRule="exact"/>
              <w:contextualSpacing/>
              <w:rPr>
                <w:rFonts w:hint="eastAsia" w:ascii="宋体" w:hAnsi="宋体" w:eastAsia="宋体"/>
                <w:sz w:val="20"/>
                <w:szCs w:val="20"/>
              </w:rPr>
            </w:pPr>
            <w:r>
              <w:rPr>
                <w:rFonts w:hint="eastAsia" w:ascii="宋体" w:hAnsi="宋体" w:eastAsia="宋体"/>
                <w:sz w:val="20"/>
                <w:szCs w:val="20"/>
              </w:rPr>
              <w:t>新建科室（简介、照片、特色、联系方式、科室类型、是否开启问答等）</w:t>
            </w:r>
          </w:p>
        </w:tc>
      </w:tr>
      <w:tr w14:paraId="3D3C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7D466521">
            <w:pPr>
              <w:spacing w:line="520" w:lineRule="exact"/>
              <w:contextualSpacing/>
              <w:rPr>
                <w:rFonts w:hint="eastAsia" w:ascii="宋体" w:hAnsi="宋体" w:eastAsia="宋体"/>
                <w:sz w:val="20"/>
                <w:szCs w:val="20"/>
              </w:rPr>
            </w:pPr>
          </w:p>
        </w:tc>
        <w:tc>
          <w:tcPr>
            <w:tcW w:w="2126" w:type="dxa"/>
            <w:vMerge w:val="continue"/>
            <w:vAlign w:val="center"/>
          </w:tcPr>
          <w:p w14:paraId="10A2964E">
            <w:pPr>
              <w:spacing w:line="520" w:lineRule="exact"/>
              <w:contextualSpacing/>
              <w:rPr>
                <w:rFonts w:hint="eastAsia" w:ascii="宋体" w:hAnsi="宋体" w:eastAsia="宋体"/>
                <w:sz w:val="20"/>
                <w:szCs w:val="20"/>
              </w:rPr>
            </w:pPr>
          </w:p>
        </w:tc>
        <w:tc>
          <w:tcPr>
            <w:tcW w:w="709" w:type="dxa"/>
            <w:vAlign w:val="center"/>
          </w:tcPr>
          <w:p w14:paraId="486CF6CB">
            <w:pPr>
              <w:spacing w:line="520" w:lineRule="exact"/>
              <w:contextualSpacing/>
              <w:jc w:val="center"/>
              <w:rPr>
                <w:rFonts w:hint="eastAsia" w:ascii="宋体" w:hAnsi="宋体" w:eastAsia="宋体"/>
                <w:sz w:val="20"/>
                <w:szCs w:val="20"/>
              </w:rPr>
            </w:pPr>
            <w:r>
              <w:rPr>
                <w:rFonts w:hint="eastAsia" w:ascii="宋体" w:hAnsi="宋体" w:eastAsia="宋体"/>
                <w:sz w:val="20"/>
                <w:szCs w:val="20"/>
              </w:rPr>
              <w:t>3</w:t>
            </w:r>
          </w:p>
        </w:tc>
        <w:tc>
          <w:tcPr>
            <w:tcW w:w="4252" w:type="dxa"/>
            <w:vAlign w:val="center"/>
          </w:tcPr>
          <w:p w14:paraId="17449607">
            <w:pPr>
              <w:spacing w:line="520" w:lineRule="exact"/>
              <w:contextualSpacing/>
              <w:rPr>
                <w:rFonts w:hint="eastAsia" w:ascii="宋体" w:hAnsi="宋体" w:eastAsia="宋体"/>
                <w:sz w:val="20"/>
                <w:szCs w:val="20"/>
              </w:rPr>
            </w:pPr>
            <w:r>
              <w:rPr>
                <w:rFonts w:hint="eastAsia" w:ascii="宋体" w:hAnsi="宋体" w:eastAsia="宋体"/>
                <w:sz w:val="20"/>
                <w:szCs w:val="20"/>
              </w:rPr>
              <w:t>科室排序/结构调整</w:t>
            </w:r>
          </w:p>
        </w:tc>
      </w:tr>
      <w:tr w14:paraId="35B8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4A9FDD70">
            <w:pPr>
              <w:spacing w:line="520" w:lineRule="exact"/>
              <w:contextualSpacing/>
              <w:rPr>
                <w:rFonts w:hint="eastAsia" w:ascii="宋体" w:hAnsi="宋体" w:eastAsia="宋体"/>
                <w:sz w:val="20"/>
                <w:szCs w:val="20"/>
              </w:rPr>
            </w:pPr>
          </w:p>
        </w:tc>
        <w:tc>
          <w:tcPr>
            <w:tcW w:w="2126" w:type="dxa"/>
            <w:vMerge w:val="continue"/>
            <w:vAlign w:val="center"/>
          </w:tcPr>
          <w:p w14:paraId="71FEE8D4">
            <w:pPr>
              <w:spacing w:line="520" w:lineRule="exact"/>
              <w:contextualSpacing/>
              <w:rPr>
                <w:rFonts w:hint="eastAsia" w:ascii="宋体" w:hAnsi="宋体" w:eastAsia="宋体"/>
                <w:sz w:val="20"/>
                <w:szCs w:val="20"/>
              </w:rPr>
            </w:pPr>
          </w:p>
        </w:tc>
        <w:tc>
          <w:tcPr>
            <w:tcW w:w="709" w:type="dxa"/>
            <w:vAlign w:val="center"/>
          </w:tcPr>
          <w:p w14:paraId="5B36F05F">
            <w:pPr>
              <w:spacing w:line="520" w:lineRule="exact"/>
              <w:contextualSpacing/>
              <w:jc w:val="center"/>
              <w:rPr>
                <w:rFonts w:hint="eastAsia" w:ascii="宋体" w:hAnsi="宋体" w:eastAsia="宋体"/>
                <w:sz w:val="20"/>
                <w:szCs w:val="20"/>
              </w:rPr>
            </w:pPr>
            <w:r>
              <w:rPr>
                <w:rFonts w:hint="eastAsia" w:ascii="宋体" w:hAnsi="宋体" w:eastAsia="宋体"/>
                <w:sz w:val="20"/>
                <w:szCs w:val="20"/>
              </w:rPr>
              <w:t>4</w:t>
            </w:r>
          </w:p>
        </w:tc>
        <w:tc>
          <w:tcPr>
            <w:tcW w:w="4252" w:type="dxa"/>
            <w:vAlign w:val="center"/>
          </w:tcPr>
          <w:p w14:paraId="65B040F4">
            <w:pPr>
              <w:spacing w:line="520" w:lineRule="exact"/>
              <w:contextualSpacing/>
              <w:rPr>
                <w:rFonts w:hint="eastAsia" w:ascii="宋体" w:hAnsi="宋体" w:eastAsia="宋体"/>
                <w:sz w:val="20"/>
                <w:szCs w:val="20"/>
              </w:rPr>
            </w:pPr>
            <w:r>
              <w:rPr>
                <w:rFonts w:hint="eastAsia" w:ascii="宋体" w:hAnsi="宋体" w:eastAsia="宋体"/>
                <w:sz w:val="20"/>
                <w:szCs w:val="20"/>
              </w:rPr>
              <w:t>关联设置（相关疾病/视频/文章）</w:t>
            </w:r>
          </w:p>
        </w:tc>
      </w:tr>
      <w:tr w14:paraId="7A1E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0C84736A">
            <w:pPr>
              <w:spacing w:line="520" w:lineRule="exact"/>
              <w:contextualSpacing/>
              <w:rPr>
                <w:rFonts w:hint="eastAsia" w:ascii="宋体" w:hAnsi="宋体" w:eastAsia="宋体"/>
                <w:sz w:val="20"/>
                <w:szCs w:val="20"/>
              </w:rPr>
            </w:pPr>
          </w:p>
        </w:tc>
        <w:tc>
          <w:tcPr>
            <w:tcW w:w="2126" w:type="dxa"/>
            <w:vMerge w:val="continue"/>
            <w:vAlign w:val="center"/>
          </w:tcPr>
          <w:p w14:paraId="504C5CC2">
            <w:pPr>
              <w:spacing w:line="520" w:lineRule="exact"/>
              <w:contextualSpacing/>
              <w:rPr>
                <w:rFonts w:hint="eastAsia" w:ascii="宋体" w:hAnsi="宋体" w:eastAsia="宋体"/>
                <w:sz w:val="20"/>
                <w:szCs w:val="20"/>
              </w:rPr>
            </w:pPr>
          </w:p>
        </w:tc>
        <w:tc>
          <w:tcPr>
            <w:tcW w:w="709" w:type="dxa"/>
            <w:vAlign w:val="center"/>
          </w:tcPr>
          <w:p w14:paraId="1C8F619C">
            <w:pPr>
              <w:spacing w:line="520" w:lineRule="exact"/>
              <w:contextualSpacing/>
              <w:jc w:val="center"/>
              <w:rPr>
                <w:rFonts w:hint="eastAsia" w:ascii="宋体" w:hAnsi="宋体" w:eastAsia="宋体"/>
                <w:sz w:val="20"/>
                <w:szCs w:val="20"/>
              </w:rPr>
            </w:pPr>
            <w:r>
              <w:rPr>
                <w:rFonts w:hint="eastAsia" w:ascii="宋体" w:hAnsi="宋体" w:eastAsia="宋体"/>
                <w:sz w:val="20"/>
                <w:szCs w:val="20"/>
              </w:rPr>
              <w:t>5</w:t>
            </w:r>
          </w:p>
        </w:tc>
        <w:tc>
          <w:tcPr>
            <w:tcW w:w="4252" w:type="dxa"/>
            <w:vAlign w:val="center"/>
          </w:tcPr>
          <w:p w14:paraId="43A05D10">
            <w:pPr>
              <w:spacing w:line="520" w:lineRule="exact"/>
              <w:contextualSpacing/>
              <w:rPr>
                <w:rFonts w:hint="eastAsia" w:ascii="宋体" w:hAnsi="宋体" w:eastAsia="宋体"/>
                <w:sz w:val="20"/>
                <w:szCs w:val="20"/>
              </w:rPr>
            </w:pPr>
            <w:r>
              <w:rPr>
                <w:rFonts w:hint="eastAsia" w:ascii="宋体" w:hAnsi="宋体" w:eastAsia="宋体"/>
                <w:sz w:val="20"/>
                <w:szCs w:val="20"/>
              </w:rPr>
              <w:t>科室子门户主图更新：不设计</w:t>
            </w:r>
          </w:p>
        </w:tc>
      </w:tr>
      <w:tr w14:paraId="26DD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95" w:type="dxa"/>
            <w:vMerge w:val="restart"/>
            <w:vAlign w:val="center"/>
          </w:tcPr>
          <w:p w14:paraId="11B31654">
            <w:pPr>
              <w:spacing w:line="520" w:lineRule="exact"/>
              <w:contextualSpacing/>
              <w:jc w:val="center"/>
              <w:rPr>
                <w:rFonts w:hint="eastAsia" w:ascii="宋体" w:hAnsi="宋体" w:eastAsia="宋体"/>
                <w:sz w:val="20"/>
                <w:szCs w:val="20"/>
              </w:rPr>
            </w:pPr>
            <w:r>
              <w:rPr>
                <w:rFonts w:hint="eastAsia" w:ascii="宋体" w:hAnsi="宋体" w:eastAsia="宋体"/>
                <w:sz w:val="20"/>
                <w:szCs w:val="20"/>
              </w:rPr>
              <w:t>8</w:t>
            </w:r>
          </w:p>
        </w:tc>
        <w:tc>
          <w:tcPr>
            <w:tcW w:w="2126" w:type="dxa"/>
            <w:vMerge w:val="restart"/>
            <w:vAlign w:val="center"/>
          </w:tcPr>
          <w:p w14:paraId="1E6C5196">
            <w:pPr>
              <w:spacing w:line="520" w:lineRule="exact"/>
              <w:contextualSpacing/>
              <w:jc w:val="center"/>
              <w:rPr>
                <w:rFonts w:hint="eastAsia" w:ascii="宋体" w:hAnsi="宋体" w:eastAsia="宋体"/>
                <w:sz w:val="20"/>
                <w:szCs w:val="20"/>
              </w:rPr>
            </w:pPr>
            <w:r>
              <w:rPr>
                <w:rFonts w:hint="eastAsia" w:ascii="宋体" w:hAnsi="宋体" w:eastAsia="宋体"/>
                <w:sz w:val="20"/>
                <w:szCs w:val="20"/>
              </w:rPr>
              <w:t>医生</w:t>
            </w:r>
          </w:p>
          <w:p w14:paraId="3C829C64">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（≤10个/天）</w:t>
            </w:r>
          </w:p>
        </w:tc>
        <w:tc>
          <w:tcPr>
            <w:tcW w:w="709" w:type="dxa"/>
            <w:vAlign w:val="center"/>
          </w:tcPr>
          <w:p w14:paraId="79B68B4E">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w:t>
            </w:r>
          </w:p>
        </w:tc>
        <w:tc>
          <w:tcPr>
            <w:tcW w:w="4252" w:type="dxa"/>
            <w:vAlign w:val="center"/>
          </w:tcPr>
          <w:p w14:paraId="6B0B2D83">
            <w:pPr>
              <w:spacing w:line="520" w:lineRule="exact"/>
              <w:contextualSpacing/>
              <w:rPr>
                <w:rFonts w:hint="eastAsia" w:ascii="宋体" w:hAnsi="宋体" w:eastAsia="宋体"/>
                <w:sz w:val="20"/>
                <w:szCs w:val="20"/>
              </w:rPr>
            </w:pPr>
            <w:r>
              <w:rPr>
                <w:rFonts w:hint="eastAsia" w:ascii="宋体" w:hAnsi="宋体" w:eastAsia="宋体"/>
                <w:sz w:val="20"/>
                <w:szCs w:val="20"/>
              </w:rPr>
              <w:t>医生简介更新（简介、职称、头像照片、擅长、联系方式、医生分组、是否开启问答等）</w:t>
            </w:r>
          </w:p>
        </w:tc>
      </w:tr>
      <w:tr w14:paraId="6CB0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5" w:type="dxa"/>
            <w:vMerge w:val="continue"/>
            <w:vAlign w:val="center"/>
          </w:tcPr>
          <w:p w14:paraId="2C3E9741">
            <w:pPr>
              <w:spacing w:line="520" w:lineRule="exact"/>
              <w:contextualSpacing/>
              <w:rPr>
                <w:rFonts w:hint="eastAsia" w:ascii="宋体" w:hAnsi="宋体" w:eastAsia="宋体"/>
                <w:sz w:val="20"/>
                <w:szCs w:val="20"/>
              </w:rPr>
            </w:pPr>
          </w:p>
        </w:tc>
        <w:tc>
          <w:tcPr>
            <w:tcW w:w="2126" w:type="dxa"/>
            <w:vMerge w:val="continue"/>
            <w:vAlign w:val="center"/>
          </w:tcPr>
          <w:p w14:paraId="783D63B0">
            <w:pPr>
              <w:spacing w:line="520" w:lineRule="exact"/>
              <w:contextualSpacing/>
              <w:jc w:val="center"/>
              <w:rPr>
                <w:rFonts w:hint="eastAsia" w:ascii="宋体" w:hAnsi="宋体" w:eastAsia="宋体"/>
                <w:sz w:val="20"/>
                <w:szCs w:val="20"/>
              </w:rPr>
            </w:pPr>
          </w:p>
        </w:tc>
        <w:tc>
          <w:tcPr>
            <w:tcW w:w="709" w:type="dxa"/>
            <w:vAlign w:val="center"/>
          </w:tcPr>
          <w:p w14:paraId="6626574A">
            <w:pPr>
              <w:spacing w:line="520" w:lineRule="exact"/>
              <w:contextualSpacing/>
              <w:jc w:val="center"/>
              <w:rPr>
                <w:rFonts w:hint="eastAsia" w:ascii="宋体" w:hAnsi="宋体" w:eastAsia="宋体"/>
                <w:sz w:val="20"/>
                <w:szCs w:val="20"/>
              </w:rPr>
            </w:pPr>
            <w:r>
              <w:rPr>
                <w:rFonts w:hint="eastAsia" w:ascii="宋体" w:hAnsi="宋体" w:eastAsia="宋体"/>
                <w:sz w:val="20"/>
                <w:szCs w:val="20"/>
              </w:rPr>
              <w:t>2</w:t>
            </w:r>
          </w:p>
        </w:tc>
        <w:tc>
          <w:tcPr>
            <w:tcW w:w="4252" w:type="dxa"/>
            <w:vAlign w:val="center"/>
          </w:tcPr>
          <w:p w14:paraId="67EF9190">
            <w:pPr>
              <w:spacing w:line="520" w:lineRule="exact"/>
              <w:contextualSpacing/>
              <w:rPr>
                <w:rFonts w:hint="eastAsia" w:ascii="宋体" w:hAnsi="宋体" w:eastAsia="宋体"/>
                <w:sz w:val="20"/>
                <w:szCs w:val="20"/>
              </w:rPr>
            </w:pPr>
            <w:r>
              <w:rPr>
                <w:rFonts w:hint="eastAsia" w:ascii="宋体" w:hAnsi="宋体" w:eastAsia="宋体"/>
                <w:sz w:val="20"/>
                <w:szCs w:val="20"/>
              </w:rPr>
              <w:t>新建医生（简介、职称、头像照片、擅长、联系方式、医生分组、是否开启问答、开启医生站点等）</w:t>
            </w:r>
          </w:p>
        </w:tc>
      </w:tr>
      <w:tr w14:paraId="7A79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408C199A">
            <w:pPr>
              <w:spacing w:line="520" w:lineRule="exact"/>
              <w:contextualSpacing/>
              <w:rPr>
                <w:rFonts w:hint="eastAsia" w:ascii="宋体" w:hAnsi="宋体" w:eastAsia="宋体"/>
                <w:sz w:val="20"/>
                <w:szCs w:val="20"/>
              </w:rPr>
            </w:pPr>
          </w:p>
        </w:tc>
        <w:tc>
          <w:tcPr>
            <w:tcW w:w="2126" w:type="dxa"/>
            <w:vMerge w:val="continue"/>
            <w:vAlign w:val="center"/>
          </w:tcPr>
          <w:p w14:paraId="59BEEE1A">
            <w:pPr>
              <w:spacing w:line="520" w:lineRule="exact"/>
              <w:contextualSpacing/>
              <w:jc w:val="center"/>
              <w:rPr>
                <w:rFonts w:hint="eastAsia" w:ascii="宋体" w:hAnsi="宋体" w:eastAsia="宋体"/>
                <w:sz w:val="20"/>
                <w:szCs w:val="20"/>
              </w:rPr>
            </w:pPr>
          </w:p>
        </w:tc>
        <w:tc>
          <w:tcPr>
            <w:tcW w:w="709" w:type="dxa"/>
            <w:vAlign w:val="center"/>
          </w:tcPr>
          <w:p w14:paraId="0CC14E64">
            <w:pPr>
              <w:spacing w:line="520" w:lineRule="exact"/>
              <w:contextualSpacing/>
              <w:jc w:val="center"/>
              <w:rPr>
                <w:rFonts w:hint="eastAsia" w:ascii="宋体" w:hAnsi="宋体" w:eastAsia="宋体"/>
                <w:sz w:val="20"/>
                <w:szCs w:val="20"/>
              </w:rPr>
            </w:pPr>
            <w:r>
              <w:rPr>
                <w:rFonts w:hint="eastAsia" w:ascii="宋体" w:hAnsi="宋体" w:eastAsia="宋体"/>
                <w:sz w:val="20"/>
                <w:szCs w:val="20"/>
              </w:rPr>
              <w:t>3</w:t>
            </w:r>
          </w:p>
        </w:tc>
        <w:tc>
          <w:tcPr>
            <w:tcW w:w="4252" w:type="dxa"/>
            <w:vAlign w:val="center"/>
          </w:tcPr>
          <w:p w14:paraId="6EE8F7DD">
            <w:pPr>
              <w:spacing w:line="520" w:lineRule="exact"/>
              <w:contextualSpacing/>
              <w:rPr>
                <w:rFonts w:hint="eastAsia" w:ascii="宋体" w:hAnsi="宋体" w:eastAsia="宋体"/>
                <w:sz w:val="20"/>
                <w:szCs w:val="20"/>
              </w:rPr>
            </w:pPr>
            <w:r>
              <w:rPr>
                <w:rFonts w:hint="eastAsia" w:ascii="宋体" w:hAnsi="宋体" w:eastAsia="宋体"/>
                <w:sz w:val="20"/>
                <w:szCs w:val="20"/>
              </w:rPr>
              <w:t>医生排序/所在科室调整</w:t>
            </w:r>
          </w:p>
        </w:tc>
      </w:tr>
      <w:tr w14:paraId="178A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2F9C41F4">
            <w:pPr>
              <w:spacing w:line="520" w:lineRule="exact"/>
              <w:contextualSpacing/>
              <w:rPr>
                <w:rFonts w:hint="eastAsia" w:ascii="宋体" w:hAnsi="宋体" w:eastAsia="宋体"/>
                <w:sz w:val="20"/>
                <w:szCs w:val="20"/>
              </w:rPr>
            </w:pPr>
          </w:p>
        </w:tc>
        <w:tc>
          <w:tcPr>
            <w:tcW w:w="2126" w:type="dxa"/>
            <w:vMerge w:val="continue"/>
            <w:vAlign w:val="center"/>
          </w:tcPr>
          <w:p w14:paraId="189B02FD">
            <w:pPr>
              <w:spacing w:line="520" w:lineRule="exact"/>
              <w:contextualSpacing/>
              <w:jc w:val="center"/>
              <w:rPr>
                <w:rFonts w:hint="eastAsia" w:ascii="宋体" w:hAnsi="宋体" w:eastAsia="宋体"/>
                <w:sz w:val="20"/>
                <w:szCs w:val="20"/>
              </w:rPr>
            </w:pPr>
          </w:p>
        </w:tc>
        <w:tc>
          <w:tcPr>
            <w:tcW w:w="709" w:type="dxa"/>
            <w:vAlign w:val="center"/>
          </w:tcPr>
          <w:p w14:paraId="0DCE531E">
            <w:pPr>
              <w:spacing w:line="520" w:lineRule="exact"/>
              <w:contextualSpacing/>
              <w:jc w:val="center"/>
              <w:rPr>
                <w:rFonts w:hint="eastAsia" w:ascii="宋体" w:hAnsi="宋体" w:eastAsia="宋体"/>
                <w:sz w:val="20"/>
                <w:szCs w:val="20"/>
              </w:rPr>
            </w:pPr>
            <w:r>
              <w:rPr>
                <w:rFonts w:hint="eastAsia" w:ascii="宋体" w:hAnsi="宋体" w:eastAsia="宋体"/>
                <w:sz w:val="20"/>
                <w:szCs w:val="20"/>
              </w:rPr>
              <w:t>4</w:t>
            </w:r>
          </w:p>
        </w:tc>
        <w:tc>
          <w:tcPr>
            <w:tcW w:w="4252" w:type="dxa"/>
            <w:vAlign w:val="center"/>
          </w:tcPr>
          <w:p w14:paraId="3F576A02">
            <w:pPr>
              <w:spacing w:line="520" w:lineRule="exact"/>
              <w:contextualSpacing/>
              <w:rPr>
                <w:rFonts w:hint="eastAsia" w:ascii="宋体" w:hAnsi="宋体" w:eastAsia="宋体"/>
                <w:sz w:val="20"/>
                <w:szCs w:val="20"/>
              </w:rPr>
            </w:pPr>
            <w:r>
              <w:rPr>
                <w:rFonts w:hint="eastAsia" w:ascii="宋体" w:hAnsi="宋体" w:eastAsia="宋体"/>
                <w:sz w:val="20"/>
                <w:szCs w:val="20"/>
              </w:rPr>
              <w:t>关联设置（相关疾病/视频/文章）</w:t>
            </w:r>
          </w:p>
        </w:tc>
      </w:tr>
      <w:tr w14:paraId="2847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restart"/>
            <w:vAlign w:val="center"/>
          </w:tcPr>
          <w:p w14:paraId="3E156CFA">
            <w:pPr>
              <w:spacing w:line="520" w:lineRule="exact"/>
              <w:contextualSpacing/>
              <w:jc w:val="center"/>
              <w:rPr>
                <w:rFonts w:hint="eastAsia" w:ascii="宋体" w:hAnsi="宋体" w:eastAsia="宋体"/>
                <w:sz w:val="20"/>
                <w:szCs w:val="20"/>
              </w:rPr>
            </w:pPr>
            <w:r>
              <w:rPr>
                <w:rFonts w:hint="eastAsia" w:ascii="宋体" w:hAnsi="宋体" w:eastAsia="宋体"/>
                <w:sz w:val="20"/>
                <w:szCs w:val="20"/>
              </w:rPr>
              <w:t>9</w:t>
            </w:r>
          </w:p>
        </w:tc>
        <w:tc>
          <w:tcPr>
            <w:tcW w:w="2126" w:type="dxa"/>
            <w:vMerge w:val="restart"/>
            <w:vAlign w:val="center"/>
          </w:tcPr>
          <w:p w14:paraId="5702877D">
            <w:pPr>
              <w:spacing w:line="520" w:lineRule="exact"/>
              <w:contextualSpacing/>
              <w:jc w:val="center"/>
              <w:rPr>
                <w:rFonts w:hint="eastAsia" w:ascii="宋体" w:hAnsi="宋体" w:eastAsia="宋体"/>
                <w:sz w:val="20"/>
                <w:szCs w:val="20"/>
              </w:rPr>
            </w:pPr>
            <w:r>
              <w:rPr>
                <w:rFonts w:hint="eastAsia" w:ascii="宋体" w:hAnsi="宋体" w:eastAsia="宋体"/>
                <w:sz w:val="20"/>
                <w:szCs w:val="20"/>
              </w:rPr>
              <w:t>疾病</w:t>
            </w:r>
          </w:p>
          <w:p w14:paraId="1714A9FE">
            <w:pPr>
              <w:spacing w:line="520" w:lineRule="exact"/>
              <w:contextualSpacing/>
              <w:jc w:val="center"/>
              <w:rPr>
                <w:rFonts w:hint="eastAsia" w:ascii="宋体" w:hAnsi="宋体" w:eastAsia="宋体"/>
                <w:sz w:val="20"/>
                <w:szCs w:val="20"/>
              </w:rPr>
            </w:pPr>
            <w:r>
              <w:rPr>
                <w:rFonts w:hint="eastAsia" w:ascii="宋体" w:hAnsi="宋体" w:eastAsia="宋体"/>
                <w:sz w:val="20"/>
                <w:szCs w:val="20"/>
              </w:rPr>
              <w:t>（≤5个/天）</w:t>
            </w:r>
          </w:p>
        </w:tc>
        <w:tc>
          <w:tcPr>
            <w:tcW w:w="709" w:type="dxa"/>
            <w:vAlign w:val="center"/>
          </w:tcPr>
          <w:p w14:paraId="0ECA381D">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w:t>
            </w:r>
          </w:p>
        </w:tc>
        <w:tc>
          <w:tcPr>
            <w:tcW w:w="4252" w:type="dxa"/>
            <w:vAlign w:val="center"/>
          </w:tcPr>
          <w:p w14:paraId="7ED764E8">
            <w:pPr>
              <w:spacing w:line="520" w:lineRule="exact"/>
              <w:contextualSpacing/>
              <w:rPr>
                <w:rFonts w:hint="eastAsia" w:ascii="宋体" w:hAnsi="宋体" w:eastAsia="宋体"/>
                <w:sz w:val="20"/>
                <w:szCs w:val="20"/>
              </w:rPr>
            </w:pPr>
            <w:r>
              <w:rPr>
                <w:rFonts w:hint="eastAsia" w:ascii="宋体" w:hAnsi="宋体" w:eastAsia="宋体"/>
                <w:sz w:val="20"/>
                <w:szCs w:val="20"/>
              </w:rPr>
              <w:t>疾病介绍更新（简介、照片等）</w:t>
            </w:r>
          </w:p>
        </w:tc>
      </w:tr>
      <w:tr w14:paraId="3BE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4A524111">
            <w:pPr>
              <w:spacing w:line="520" w:lineRule="exact"/>
              <w:contextualSpacing/>
              <w:rPr>
                <w:rFonts w:hint="eastAsia" w:ascii="宋体" w:hAnsi="宋体" w:eastAsia="宋体"/>
                <w:sz w:val="20"/>
                <w:szCs w:val="20"/>
              </w:rPr>
            </w:pPr>
          </w:p>
        </w:tc>
        <w:tc>
          <w:tcPr>
            <w:tcW w:w="2126" w:type="dxa"/>
            <w:vMerge w:val="continue"/>
            <w:vAlign w:val="center"/>
          </w:tcPr>
          <w:p w14:paraId="509709D5">
            <w:pPr>
              <w:spacing w:line="520" w:lineRule="exact"/>
              <w:contextualSpacing/>
              <w:jc w:val="center"/>
              <w:rPr>
                <w:rFonts w:hint="eastAsia" w:ascii="宋体" w:hAnsi="宋体" w:eastAsia="宋体"/>
                <w:sz w:val="20"/>
                <w:szCs w:val="20"/>
              </w:rPr>
            </w:pPr>
          </w:p>
        </w:tc>
        <w:tc>
          <w:tcPr>
            <w:tcW w:w="709" w:type="dxa"/>
            <w:vAlign w:val="center"/>
          </w:tcPr>
          <w:p w14:paraId="4D61165B">
            <w:pPr>
              <w:spacing w:line="520" w:lineRule="exact"/>
              <w:contextualSpacing/>
              <w:jc w:val="center"/>
              <w:rPr>
                <w:rFonts w:hint="eastAsia" w:ascii="宋体" w:hAnsi="宋体" w:eastAsia="宋体"/>
                <w:sz w:val="20"/>
                <w:szCs w:val="20"/>
              </w:rPr>
            </w:pPr>
            <w:r>
              <w:rPr>
                <w:rFonts w:hint="eastAsia" w:ascii="宋体" w:hAnsi="宋体" w:eastAsia="宋体"/>
                <w:sz w:val="20"/>
                <w:szCs w:val="20"/>
              </w:rPr>
              <w:t>2</w:t>
            </w:r>
          </w:p>
        </w:tc>
        <w:tc>
          <w:tcPr>
            <w:tcW w:w="4252" w:type="dxa"/>
            <w:vAlign w:val="center"/>
          </w:tcPr>
          <w:p w14:paraId="20A38311">
            <w:pPr>
              <w:spacing w:line="520" w:lineRule="exact"/>
              <w:contextualSpacing/>
              <w:rPr>
                <w:rFonts w:hint="eastAsia" w:ascii="宋体" w:hAnsi="宋体" w:eastAsia="宋体"/>
                <w:sz w:val="20"/>
                <w:szCs w:val="20"/>
              </w:rPr>
            </w:pPr>
            <w:r>
              <w:rPr>
                <w:rFonts w:hint="eastAsia" w:ascii="宋体" w:hAnsi="宋体" w:eastAsia="宋体"/>
                <w:sz w:val="20"/>
                <w:szCs w:val="20"/>
              </w:rPr>
              <w:t>新建疾病（简介、照片等）</w:t>
            </w:r>
          </w:p>
        </w:tc>
      </w:tr>
      <w:tr w14:paraId="38F8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4B80EF8B">
            <w:pPr>
              <w:spacing w:line="520" w:lineRule="exact"/>
              <w:contextualSpacing/>
              <w:rPr>
                <w:rFonts w:hint="eastAsia" w:ascii="宋体" w:hAnsi="宋体" w:eastAsia="宋体"/>
                <w:sz w:val="20"/>
                <w:szCs w:val="20"/>
              </w:rPr>
            </w:pPr>
          </w:p>
        </w:tc>
        <w:tc>
          <w:tcPr>
            <w:tcW w:w="2126" w:type="dxa"/>
            <w:vMerge w:val="continue"/>
            <w:vAlign w:val="center"/>
          </w:tcPr>
          <w:p w14:paraId="2C727832">
            <w:pPr>
              <w:spacing w:line="520" w:lineRule="exact"/>
              <w:contextualSpacing/>
              <w:jc w:val="center"/>
              <w:rPr>
                <w:rFonts w:hint="eastAsia" w:ascii="宋体" w:hAnsi="宋体" w:eastAsia="宋体"/>
                <w:sz w:val="20"/>
                <w:szCs w:val="20"/>
              </w:rPr>
            </w:pPr>
          </w:p>
        </w:tc>
        <w:tc>
          <w:tcPr>
            <w:tcW w:w="709" w:type="dxa"/>
            <w:vAlign w:val="center"/>
          </w:tcPr>
          <w:p w14:paraId="3E79E1B1">
            <w:pPr>
              <w:spacing w:line="520" w:lineRule="exact"/>
              <w:contextualSpacing/>
              <w:jc w:val="center"/>
              <w:rPr>
                <w:rFonts w:hint="eastAsia" w:ascii="宋体" w:hAnsi="宋体" w:eastAsia="宋体"/>
                <w:sz w:val="20"/>
                <w:szCs w:val="20"/>
              </w:rPr>
            </w:pPr>
            <w:r>
              <w:rPr>
                <w:rFonts w:hint="eastAsia" w:ascii="宋体" w:hAnsi="宋体" w:eastAsia="宋体"/>
                <w:sz w:val="20"/>
                <w:szCs w:val="20"/>
              </w:rPr>
              <w:t>3</w:t>
            </w:r>
          </w:p>
        </w:tc>
        <w:tc>
          <w:tcPr>
            <w:tcW w:w="4252" w:type="dxa"/>
            <w:vAlign w:val="center"/>
          </w:tcPr>
          <w:p w14:paraId="64D420BC">
            <w:pPr>
              <w:spacing w:line="520" w:lineRule="exact"/>
              <w:contextualSpacing/>
              <w:rPr>
                <w:rFonts w:hint="eastAsia" w:ascii="宋体" w:hAnsi="宋体" w:eastAsia="宋体"/>
                <w:sz w:val="20"/>
                <w:szCs w:val="20"/>
              </w:rPr>
            </w:pPr>
            <w:r>
              <w:rPr>
                <w:rFonts w:hint="eastAsia" w:ascii="宋体" w:hAnsi="宋体" w:eastAsia="宋体"/>
                <w:sz w:val="20"/>
                <w:szCs w:val="20"/>
              </w:rPr>
              <w:t>关联设置（相关科室/医生/视频/文章）</w:t>
            </w:r>
          </w:p>
        </w:tc>
      </w:tr>
      <w:tr w14:paraId="7D45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restart"/>
            <w:vAlign w:val="center"/>
          </w:tcPr>
          <w:p w14:paraId="38F2DCE4">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10</w:t>
            </w:r>
          </w:p>
        </w:tc>
        <w:tc>
          <w:tcPr>
            <w:tcW w:w="2126" w:type="dxa"/>
            <w:vMerge w:val="restart"/>
            <w:vAlign w:val="center"/>
          </w:tcPr>
          <w:p w14:paraId="5810F709">
            <w:pPr>
              <w:spacing w:line="520" w:lineRule="exact"/>
              <w:contextualSpacing/>
              <w:jc w:val="center"/>
              <w:rPr>
                <w:rFonts w:hint="eastAsia" w:ascii="宋体" w:hAnsi="宋体" w:eastAsia="宋体"/>
                <w:sz w:val="20"/>
                <w:szCs w:val="20"/>
              </w:rPr>
            </w:pPr>
            <w:r>
              <w:rPr>
                <w:rFonts w:hint="eastAsia" w:ascii="宋体" w:hAnsi="宋体" w:eastAsia="宋体"/>
                <w:sz w:val="20"/>
                <w:szCs w:val="20"/>
              </w:rPr>
              <w:t>出诊排班</w:t>
            </w:r>
          </w:p>
          <w:p w14:paraId="1DE1F6CD">
            <w:pPr>
              <w:spacing w:line="520" w:lineRule="exact"/>
              <w:contextualSpacing/>
              <w:jc w:val="center"/>
              <w:rPr>
                <w:rFonts w:hint="eastAsia" w:ascii="宋体" w:hAnsi="宋体" w:eastAsia="宋体"/>
                <w:sz w:val="20"/>
                <w:szCs w:val="20"/>
              </w:rPr>
            </w:pPr>
            <w:r>
              <w:rPr>
                <w:rFonts w:hint="eastAsia" w:ascii="宋体" w:hAnsi="宋体" w:eastAsia="宋体"/>
                <w:sz w:val="20"/>
                <w:szCs w:val="20"/>
              </w:rPr>
              <w:t>（≤20个/天）</w:t>
            </w:r>
          </w:p>
        </w:tc>
        <w:tc>
          <w:tcPr>
            <w:tcW w:w="709" w:type="dxa"/>
            <w:vAlign w:val="center"/>
          </w:tcPr>
          <w:p w14:paraId="00C5EAD9">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w:t>
            </w:r>
          </w:p>
        </w:tc>
        <w:tc>
          <w:tcPr>
            <w:tcW w:w="4252" w:type="dxa"/>
            <w:vAlign w:val="center"/>
          </w:tcPr>
          <w:p w14:paraId="43CF282D">
            <w:pPr>
              <w:spacing w:line="520" w:lineRule="exact"/>
              <w:contextualSpacing/>
              <w:rPr>
                <w:rFonts w:hint="eastAsia" w:ascii="宋体" w:hAnsi="宋体" w:eastAsia="宋体"/>
                <w:sz w:val="20"/>
                <w:szCs w:val="20"/>
              </w:rPr>
            </w:pPr>
            <w:r>
              <w:rPr>
                <w:rFonts w:hint="eastAsia" w:ascii="宋体" w:hAnsi="宋体" w:eastAsia="宋体"/>
                <w:sz w:val="20"/>
                <w:szCs w:val="20"/>
              </w:rPr>
              <w:t>门诊科室/医生设置 增/删/改</w:t>
            </w:r>
          </w:p>
        </w:tc>
      </w:tr>
      <w:tr w14:paraId="05FD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5EF699D3">
            <w:pPr>
              <w:spacing w:line="520" w:lineRule="exact"/>
              <w:contextualSpacing/>
              <w:jc w:val="center"/>
              <w:rPr>
                <w:rFonts w:hint="eastAsia" w:ascii="宋体" w:hAnsi="宋体" w:eastAsia="宋体"/>
                <w:sz w:val="20"/>
                <w:szCs w:val="20"/>
              </w:rPr>
            </w:pPr>
          </w:p>
        </w:tc>
        <w:tc>
          <w:tcPr>
            <w:tcW w:w="2126" w:type="dxa"/>
            <w:vMerge w:val="continue"/>
            <w:vAlign w:val="center"/>
          </w:tcPr>
          <w:p w14:paraId="3578124A">
            <w:pPr>
              <w:spacing w:line="520" w:lineRule="exact"/>
              <w:contextualSpacing/>
              <w:jc w:val="center"/>
              <w:rPr>
                <w:rFonts w:hint="eastAsia" w:ascii="宋体" w:hAnsi="宋体" w:eastAsia="宋体"/>
                <w:sz w:val="20"/>
                <w:szCs w:val="20"/>
              </w:rPr>
            </w:pPr>
          </w:p>
        </w:tc>
        <w:tc>
          <w:tcPr>
            <w:tcW w:w="709" w:type="dxa"/>
            <w:vAlign w:val="center"/>
          </w:tcPr>
          <w:p w14:paraId="5A62642B">
            <w:pPr>
              <w:spacing w:line="520" w:lineRule="exact"/>
              <w:contextualSpacing/>
              <w:jc w:val="center"/>
              <w:rPr>
                <w:rFonts w:hint="eastAsia" w:ascii="宋体" w:hAnsi="宋体" w:eastAsia="宋体"/>
                <w:sz w:val="20"/>
                <w:szCs w:val="20"/>
              </w:rPr>
            </w:pPr>
            <w:r>
              <w:rPr>
                <w:rFonts w:hint="eastAsia" w:ascii="宋体" w:hAnsi="宋体" w:eastAsia="宋体"/>
                <w:sz w:val="20"/>
                <w:szCs w:val="20"/>
              </w:rPr>
              <w:t>2</w:t>
            </w:r>
          </w:p>
        </w:tc>
        <w:tc>
          <w:tcPr>
            <w:tcW w:w="4252" w:type="dxa"/>
            <w:vAlign w:val="center"/>
          </w:tcPr>
          <w:p w14:paraId="0BA9A3CF">
            <w:pPr>
              <w:spacing w:line="520" w:lineRule="exact"/>
              <w:contextualSpacing/>
              <w:rPr>
                <w:rFonts w:hint="eastAsia" w:ascii="宋体" w:hAnsi="宋体" w:eastAsia="宋体"/>
                <w:sz w:val="20"/>
                <w:szCs w:val="20"/>
              </w:rPr>
            </w:pPr>
            <w:r>
              <w:rPr>
                <w:rFonts w:hint="eastAsia" w:ascii="宋体" w:hAnsi="宋体" w:eastAsia="宋体"/>
                <w:sz w:val="20"/>
                <w:szCs w:val="20"/>
              </w:rPr>
              <w:t>门诊级别/医事服务费设置</w:t>
            </w:r>
          </w:p>
        </w:tc>
      </w:tr>
      <w:tr w14:paraId="4081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7BBADC2D">
            <w:pPr>
              <w:spacing w:line="520" w:lineRule="exact"/>
              <w:contextualSpacing/>
              <w:jc w:val="center"/>
              <w:rPr>
                <w:rFonts w:hint="eastAsia" w:ascii="宋体" w:hAnsi="宋体" w:eastAsia="宋体"/>
                <w:sz w:val="20"/>
                <w:szCs w:val="20"/>
              </w:rPr>
            </w:pPr>
          </w:p>
        </w:tc>
        <w:tc>
          <w:tcPr>
            <w:tcW w:w="2126" w:type="dxa"/>
            <w:vMerge w:val="continue"/>
            <w:vAlign w:val="center"/>
          </w:tcPr>
          <w:p w14:paraId="4A9DB4AA">
            <w:pPr>
              <w:spacing w:line="520" w:lineRule="exact"/>
              <w:contextualSpacing/>
              <w:jc w:val="center"/>
              <w:rPr>
                <w:rFonts w:hint="eastAsia" w:ascii="宋体" w:hAnsi="宋体" w:eastAsia="宋体"/>
                <w:sz w:val="20"/>
                <w:szCs w:val="20"/>
              </w:rPr>
            </w:pPr>
          </w:p>
        </w:tc>
        <w:tc>
          <w:tcPr>
            <w:tcW w:w="709" w:type="dxa"/>
            <w:vAlign w:val="center"/>
          </w:tcPr>
          <w:p w14:paraId="1F28C396">
            <w:pPr>
              <w:spacing w:line="520" w:lineRule="exact"/>
              <w:contextualSpacing/>
              <w:jc w:val="center"/>
              <w:rPr>
                <w:rFonts w:hint="eastAsia" w:ascii="宋体" w:hAnsi="宋体" w:eastAsia="宋体"/>
                <w:sz w:val="20"/>
                <w:szCs w:val="20"/>
              </w:rPr>
            </w:pPr>
            <w:r>
              <w:rPr>
                <w:rFonts w:hint="eastAsia" w:ascii="宋体" w:hAnsi="宋体" w:eastAsia="宋体"/>
                <w:sz w:val="20"/>
                <w:szCs w:val="20"/>
              </w:rPr>
              <w:t>3</w:t>
            </w:r>
          </w:p>
        </w:tc>
        <w:tc>
          <w:tcPr>
            <w:tcW w:w="4252" w:type="dxa"/>
            <w:vAlign w:val="center"/>
          </w:tcPr>
          <w:p w14:paraId="79E4258F">
            <w:pPr>
              <w:spacing w:line="520" w:lineRule="exact"/>
              <w:contextualSpacing/>
              <w:rPr>
                <w:rFonts w:hint="eastAsia" w:ascii="宋体" w:hAnsi="宋体" w:eastAsia="宋体"/>
                <w:sz w:val="20"/>
                <w:szCs w:val="20"/>
              </w:rPr>
            </w:pPr>
            <w:r>
              <w:rPr>
                <w:rFonts w:hint="eastAsia" w:ascii="宋体" w:hAnsi="宋体" w:eastAsia="宋体"/>
                <w:sz w:val="20"/>
                <w:szCs w:val="20"/>
              </w:rPr>
              <w:t>排班计划设置 增/删/改</w:t>
            </w:r>
          </w:p>
        </w:tc>
      </w:tr>
      <w:tr w14:paraId="36DC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50357A1B">
            <w:pPr>
              <w:spacing w:line="520" w:lineRule="exact"/>
              <w:contextualSpacing/>
              <w:rPr>
                <w:rFonts w:hint="eastAsia" w:ascii="宋体" w:hAnsi="宋体" w:eastAsia="宋体"/>
                <w:sz w:val="20"/>
                <w:szCs w:val="20"/>
              </w:rPr>
            </w:pPr>
          </w:p>
        </w:tc>
        <w:tc>
          <w:tcPr>
            <w:tcW w:w="2126" w:type="dxa"/>
            <w:vMerge w:val="continue"/>
            <w:vAlign w:val="center"/>
          </w:tcPr>
          <w:p w14:paraId="2E9A3C85">
            <w:pPr>
              <w:spacing w:line="520" w:lineRule="exact"/>
              <w:contextualSpacing/>
              <w:rPr>
                <w:rFonts w:hint="eastAsia" w:ascii="宋体" w:hAnsi="宋体" w:eastAsia="宋体"/>
                <w:sz w:val="20"/>
                <w:szCs w:val="20"/>
              </w:rPr>
            </w:pPr>
          </w:p>
        </w:tc>
        <w:tc>
          <w:tcPr>
            <w:tcW w:w="709" w:type="dxa"/>
            <w:vAlign w:val="center"/>
          </w:tcPr>
          <w:p w14:paraId="6E108491">
            <w:pPr>
              <w:spacing w:line="520" w:lineRule="exact"/>
              <w:contextualSpacing/>
              <w:jc w:val="center"/>
              <w:rPr>
                <w:rFonts w:hint="eastAsia" w:ascii="宋体" w:hAnsi="宋体" w:eastAsia="宋体"/>
                <w:sz w:val="20"/>
                <w:szCs w:val="20"/>
              </w:rPr>
            </w:pPr>
            <w:r>
              <w:rPr>
                <w:rFonts w:hint="eastAsia" w:ascii="宋体" w:hAnsi="宋体" w:eastAsia="宋体"/>
                <w:sz w:val="20"/>
                <w:szCs w:val="20"/>
              </w:rPr>
              <w:t>4</w:t>
            </w:r>
          </w:p>
        </w:tc>
        <w:tc>
          <w:tcPr>
            <w:tcW w:w="4252" w:type="dxa"/>
            <w:vAlign w:val="center"/>
          </w:tcPr>
          <w:p w14:paraId="0ABAAF1B">
            <w:pPr>
              <w:spacing w:line="520" w:lineRule="exact"/>
              <w:contextualSpacing/>
              <w:rPr>
                <w:rFonts w:hint="eastAsia" w:ascii="宋体" w:hAnsi="宋体" w:eastAsia="宋体"/>
                <w:sz w:val="20"/>
                <w:szCs w:val="20"/>
              </w:rPr>
            </w:pPr>
            <w:r>
              <w:rPr>
                <w:rFonts w:hint="eastAsia" w:ascii="宋体" w:hAnsi="宋体" w:eastAsia="宋体"/>
                <w:sz w:val="20"/>
                <w:szCs w:val="20"/>
              </w:rPr>
              <w:t>假期设置 增/删/改</w:t>
            </w:r>
          </w:p>
        </w:tc>
      </w:tr>
      <w:tr w14:paraId="0F14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3F3BF5F3">
            <w:pPr>
              <w:spacing w:line="520" w:lineRule="exact"/>
              <w:contextualSpacing/>
              <w:rPr>
                <w:rFonts w:hint="eastAsia" w:ascii="宋体" w:hAnsi="宋体" w:eastAsia="宋体"/>
                <w:sz w:val="20"/>
                <w:szCs w:val="20"/>
              </w:rPr>
            </w:pPr>
          </w:p>
        </w:tc>
        <w:tc>
          <w:tcPr>
            <w:tcW w:w="2126" w:type="dxa"/>
            <w:vMerge w:val="continue"/>
            <w:vAlign w:val="center"/>
          </w:tcPr>
          <w:p w14:paraId="7A573262">
            <w:pPr>
              <w:spacing w:line="520" w:lineRule="exact"/>
              <w:contextualSpacing/>
              <w:rPr>
                <w:rFonts w:hint="eastAsia" w:ascii="宋体" w:hAnsi="宋体" w:eastAsia="宋体"/>
                <w:sz w:val="20"/>
                <w:szCs w:val="20"/>
              </w:rPr>
            </w:pPr>
          </w:p>
        </w:tc>
        <w:tc>
          <w:tcPr>
            <w:tcW w:w="709" w:type="dxa"/>
            <w:vAlign w:val="center"/>
          </w:tcPr>
          <w:p w14:paraId="7E34C1E6">
            <w:pPr>
              <w:spacing w:line="520" w:lineRule="exact"/>
              <w:contextualSpacing/>
              <w:jc w:val="center"/>
              <w:rPr>
                <w:rFonts w:hint="eastAsia" w:ascii="宋体" w:hAnsi="宋体" w:eastAsia="宋体"/>
                <w:sz w:val="20"/>
                <w:szCs w:val="20"/>
              </w:rPr>
            </w:pPr>
            <w:r>
              <w:rPr>
                <w:rFonts w:hint="eastAsia" w:ascii="宋体" w:hAnsi="宋体" w:eastAsia="宋体"/>
                <w:sz w:val="20"/>
                <w:szCs w:val="20"/>
              </w:rPr>
              <w:t>5</w:t>
            </w:r>
          </w:p>
        </w:tc>
        <w:tc>
          <w:tcPr>
            <w:tcW w:w="4252" w:type="dxa"/>
            <w:vAlign w:val="center"/>
          </w:tcPr>
          <w:p w14:paraId="48FF8EC3">
            <w:pPr>
              <w:spacing w:line="520" w:lineRule="exact"/>
              <w:contextualSpacing/>
              <w:rPr>
                <w:rFonts w:hint="eastAsia" w:ascii="宋体" w:hAnsi="宋体" w:eastAsia="宋体"/>
                <w:sz w:val="20"/>
                <w:szCs w:val="20"/>
              </w:rPr>
            </w:pPr>
            <w:r>
              <w:rPr>
                <w:rFonts w:hint="eastAsia" w:ascii="宋体" w:hAnsi="宋体" w:eastAsia="宋体"/>
                <w:sz w:val="20"/>
                <w:szCs w:val="20"/>
              </w:rPr>
              <w:t>停诊计划设置 增/删/改</w:t>
            </w:r>
          </w:p>
        </w:tc>
      </w:tr>
      <w:tr w14:paraId="285A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28135BD0">
            <w:pPr>
              <w:spacing w:line="520" w:lineRule="exact"/>
              <w:contextualSpacing/>
              <w:rPr>
                <w:rFonts w:hint="eastAsia" w:ascii="宋体" w:hAnsi="宋体" w:eastAsia="宋体"/>
                <w:sz w:val="20"/>
                <w:szCs w:val="20"/>
              </w:rPr>
            </w:pPr>
          </w:p>
        </w:tc>
        <w:tc>
          <w:tcPr>
            <w:tcW w:w="2126" w:type="dxa"/>
            <w:vMerge w:val="continue"/>
            <w:vAlign w:val="center"/>
          </w:tcPr>
          <w:p w14:paraId="09B60D10">
            <w:pPr>
              <w:spacing w:line="520" w:lineRule="exact"/>
              <w:contextualSpacing/>
              <w:rPr>
                <w:rFonts w:hint="eastAsia" w:ascii="宋体" w:hAnsi="宋体" w:eastAsia="宋体"/>
                <w:sz w:val="20"/>
                <w:szCs w:val="20"/>
              </w:rPr>
            </w:pPr>
          </w:p>
        </w:tc>
        <w:tc>
          <w:tcPr>
            <w:tcW w:w="709" w:type="dxa"/>
            <w:vAlign w:val="center"/>
          </w:tcPr>
          <w:p w14:paraId="281FD1C4">
            <w:pPr>
              <w:spacing w:line="520" w:lineRule="exact"/>
              <w:contextualSpacing/>
              <w:jc w:val="center"/>
              <w:rPr>
                <w:rFonts w:hint="eastAsia" w:ascii="宋体" w:hAnsi="宋体" w:eastAsia="宋体"/>
                <w:sz w:val="20"/>
                <w:szCs w:val="20"/>
              </w:rPr>
            </w:pPr>
            <w:r>
              <w:rPr>
                <w:rFonts w:hint="eastAsia" w:ascii="宋体" w:hAnsi="宋体" w:eastAsia="宋体"/>
                <w:sz w:val="20"/>
                <w:szCs w:val="20"/>
              </w:rPr>
              <w:t>6</w:t>
            </w:r>
          </w:p>
        </w:tc>
        <w:tc>
          <w:tcPr>
            <w:tcW w:w="4252" w:type="dxa"/>
            <w:vAlign w:val="center"/>
          </w:tcPr>
          <w:p w14:paraId="67BF1375">
            <w:pPr>
              <w:spacing w:line="520" w:lineRule="exact"/>
              <w:contextualSpacing/>
              <w:rPr>
                <w:rFonts w:hint="eastAsia" w:ascii="宋体" w:hAnsi="宋体" w:eastAsia="宋体"/>
                <w:sz w:val="20"/>
                <w:szCs w:val="20"/>
              </w:rPr>
            </w:pPr>
            <w:r>
              <w:rPr>
                <w:rFonts w:hint="eastAsia" w:ascii="宋体" w:hAnsi="宋体" w:eastAsia="宋体"/>
                <w:sz w:val="20"/>
                <w:szCs w:val="20"/>
              </w:rPr>
              <w:t>执行出诊/停诊状态更新</w:t>
            </w:r>
          </w:p>
        </w:tc>
      </w:tr>
      <w:tr w14:paraId="6AAC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restart"/>
            <w:vAlign w:val="center"/>
          </w:tcPr>
          <w:p w14:paraId="2EFDF5A1">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11</w:t>
            </w:r>
          </w:p>
        </w:tc>
        <w:tc>
          <w:tcPr>
            <w:tcW w:w="2126" w:type="dxa"/>
            <w:vMerge w:val="restart"/>
            <w:vAlign w:val="center"/>
          </w:tcPr>
          <w:p w14:paraId="5FC4DF87">
            <w:pPr>
              <w:spacing w:line="520" w:lineRule="exact"/>
              <w:contextualSpacing/>
              <w:jc w:val="center"/>
              <w:rPr>
                <w:rFonts w:hint="eastAsia" w:ascii="宋体" w:hAnsi="宋体" w:eastAsia="宋体"/>
                <w:sz w:val="20"/>
                <w:szCs w:val="20"/>
              </w:rPr>
            </w:pPr>
            <w:r>
              <w:rPr>
                <w:rFonts w:hint="eastAsia" w:ascii="宋体" w:hAnsi="宋体" w:eastAsia="宋体"/>
                <w:sz w:val="20"/>
                <w:szCs w:val="20"/>
              </w:rPr>
              <w:t>视频</w:t>
            </w:r>
          </w:p>
          <w:p w14:paraId="1EC0272B">
            <w:pPr>
              <w:spacing w:line="520" w:lineRule="exact"/>
              <w:contextualSpacing/>
              <w:jc w:val="center"/>
              <w:rPr>
                <w:rFonts w:hint="eastAsia" w:ascii="宋体" w:hAnsi="宋体" w:eastAsia="宋体"/>
                <w:sz w:val="20"/>
                <w:szCs w:val="20"/>
              </w:rPr>
            </w:pPr>
            <w:r>
              <w:rPr>
                <w:rFonts w:hint="eastAsia" w:ascii="宋体" w:hAnsi="宋体" w:eastAsia="宋体"/>
                <w:sz w:val="20"/>
                <w:szCs w:val="20"/>
              </w:rPr>
              <w:t>（≤2个/天）</w:t>
            </w:r>
          </w:p>
        </w:tc>
        <w:tc>
          <w:tcPr>
            <w:tcW w:w="709" w:type="dxa"/>
            <w:vAlign w:val="center"/>
          </w:tcPr>
          <w:p w14:paraId="4CAB7064">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w:t>
            </w:r>
          </w:p>
        </w:tc>
        <w:tc>
          <w:tcPr>
            <w:tcW w:w="4252" w:type="dxa"/>
            <w:vAlign w:val="center"/>
          </w:tcPr>
          <w:p w14:paraId="68038903">
            <w:pPr>
              <w:spacing w:line="520" w:lineRule="exact"/>
              <w:contextualSpacing/>
              <w:rPr>
                <w:rFonts w:hint="eastAsia" w:ascii="宋体" w:hAnsi="宋体" w:eastAsia="宋体"/>
                <w:sz w:val="20"/>
                <w:szCs w:val="20"/>
              </w:rPr>
            </w:pPr>
            <w:r>
              <w:rPr>
                <w:rFonts w:hint="eastAsia" w:ascii="宋体" w:hAnsi="宋体" w:eastAsia="宋体"/>
                <w:sz w:val="20"/>
                <w:szCs w:val="20"/>
              </w:rPr>
              <w:t>视频格式转换（mp4），原视频 ≤1GB</w:t>
            </w:r>
          </w:p>
        </w:tc>
      </w:tr>
      <w:tr w14:paraId="6E99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6A2F5B7A">
            <w:pPr>
              <w:spacing w:line="520" w:lineRule="exact"/>
              <w:contextualSpacing/>
              <w:rPr>
                <w:rFonts w:hint="eastAsia" w:ascii="宋体" w:hAnsi="宋体" w:eastAsia="宋体"/>
                <w:sz w:val="20"/>
                <w:szCs w:val="20"/>
              </w:rPr>
            </w:pPr>
          </w:p>
        </w:tc>
        <w:tc>
          <w:tcPr>
            <w:tcW w:w="2126" w:type="dxa"/>
            <w:vMerge w:val="continue"/>
            <w:vAlign w:val="center"/>
          </w:tcPr>
          <w:p w14:paraId="35D55A25">
            <w:pPr>
              <w:spacing w:line="520" w:lineRule="exact"/>
              <w:contextualSpacing/>
              <w:rPr>
                <w:rFonts w:hint="eastAsia" w:ascii="宋体" w:hAnsi="宋体" w:eastAsia="宋体"/>
                <w:sz w:val="20"/>
                <w:szCs w:val="20"/>
              </w:rPr>
            </w:pPr>
          </w:p>
        </w:tc>
        <w:tc>
          <w:tcPr>
            <w:tcW w:w="709" w:type="dxa"/>
            <w:vAlign w:val="center"/>
          </w:tcPr>
          <w:p w14:paraId="54F01CD3">
            <w:pPr>
              <w:spacing w:line="520" w:lineRule="exact"/>
              <w:contextualSpacing/>
              <w:jc w:val="center"/>
              <w:rPr>
                <w:rFonts w:hint="eastAsia" w:ascii="宋体" w:hAnsi="宋体" w:eastAsia="宋体"/>
                <w:sz w:val="20"/>
                <w:szCs w:val="20"/>
              </w:rPr>
            </w:pPr>
            <w:r>
              <w:rPr>
                <w:rFonts w:hint="eastAsia" w:ascii="宋体" w:hAnsi="宋体" w:eastAsia="宋体"/>
                <w:sz w:val="20"/>
                <w:szCs w:val="20"/>
              </w:rPr>
              <w:t>2</w:t>
            </w:r>
          </w:p>
        </w:tc>
        <w:tc>
          <w:tcPr>
            <w:tcW w:w="4252" w:type="dxa"/>
            <w:vAlign w:val="center"/>
          </w:tcPr>
          <w:p w14:paraId="1A8EAD43">
            <w:pPr>
              <w:spacing w:line="520" w:lineRule="exact"/>
              <w:contextualSpacing/>
              <w:rPr>
                <w:rFonts w:hint="eastAsia" w:ascii="宋体" w:hAnsi="宋体" w:eastAsia="宋体"/>
                <w:sz w:val="20"/>
                <w:szCs w:val="20"/>
              </w:rPr>
            </w:pPr>
            <w:r>
              <w:rPr>
                <w:rFonts w:hint="eastAsia" w:ascii="宋体" w:hAnsi="宋体" w:eastAsia="宋体"/>
                <w:sz w:val="20"/>
                <w:szCs w:val="20"/>
              </w:rPr>
              <w:t>视频上传 ≤50MB</w:t>
            </w:r>
          </w:p>
        </w:tc>
      </w:tr>
      <w:tr w14:paraId="4DF1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15751F04">
            <w:pPr>
              <w:spacing w:line="520" w:lineRule="exact"/>
              <w:contextualSpacing/>
              <w:rPr>
                <w:rFonts w:hint="eastAsia" w:ascii="宋体" w:hAnsi="宋体" w:eastAsia="宋体"/>
                <w:sz w:val="20"/>
                <w:szCs w:val="20"/>
              </w:rPr>
            </w:pPr>
          </w:p>
        </w:tc>
        <w:tc>
          <w:tcPr>
            <w:tcW w:w="2126" w:type="dxa"/>
            <w:vMerge w:val="continue"/>
            <w:vAlign w:val="center"/>
          </w:tcPr>
          <w:p w14:paraId="493389EF">
            <w:pPr>
              <w:spacing w:line="520" w:lineRule="exact"/>
              <w:contextualSpacing/>
              <w:rPr>
                <w:rFonts w:hint="eastAsia" w:ascii="宋体" w:hAnsi="宋体" w:eastAsia="宋体"/>
                <w:sz w:val="20"/>
                <w:szCs w:val="20"/>
              </w:rPr>
            </w:pPr>
          </w:p>
        </w:tc>
        <w:tc>
          <w:tcPr>
            <w:tcW w:w="709" w:type="dxa"/>
            <w:vAlign w:val="center"/>
          </w:tcPr>
          <w:p w14:paraId="593F797A">
            <w:pPr>
              <w:spacing w:line="520" w:lineRule="exact"/>
              <w:contextualSpacing/>
              <w:jc w:val="center"/>
              <w:rPr>
                <w:rFonts w:hint="eastAsia" w:ascii="宋体" w:hAnsi="宋体" w:eastAsia="宋体"/>
                <w:sz w:val="20"/>
                <w:szCs w:val="20"/>
              </w:rPr>
            </w:pPr>
            <w:r>
              <w:rPr>
                <w:rFonts w:hint="eastAsia" w:ascii="宋体" w:hAnsi="宋体" w:eastAsia="宋体"/>
                <w:sz w:val="20"/>
                <w:szCs w:val="20"/>
              </w:rPr>
              <w:t>3</w:t>
            </w:r>
          </w:p>
        </w:tc>
        <w:tc>
          <w:tcPr>
            <w:tcW w:w="4252" w:type="dxa"/>
            <w:vAlign w:val="center"/>
          </w:tcPr>
          <w:p w14:paraId="73242D7C">
            <w:pPr>
              <w:spacing w:line="520" w:lineRule="exact"/>
              <w:contextualSpacing/>
              <w:rPr>
                <w:rFonts w:hint="eastAsia" w:ascii="宋体" w:hAnsi="宋体" w:eastAsia="宋体"/>
                <w:sz w:val="20"/>
                <w:szCs w:val="20"/>
              </w:rPr>
            </w:pPr>
            <w:r>
              <w:rPr>
                <w:rFonts w:hint="eastAsia" w:ascii="宋体" w:hAnsi="宋体" w:eastAsia="宋体"/>
                <w:sz w:val="20"/>
                <w:szCs w:val="20"/>
              </w:rPr>
              <w:t>视频文字混排（与文章发布、视频编辑操作一致）</w:t>
            </w:r>
          </w:p>
        </w:tc>
      </w:tr>
      <w:tr w14:paraId="379F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Merge w:val="continue"/>
            <w:vAlign w:val="center"/>
          </w:tcPr>
          <w:p w14:paraId="54D2447B">
            <w:pPr>
              <w:spacing w:line="520" w:lineRule="exact"/>
              <w:contextualSpacing/>
              <w:rPr>
                <w:rFonts w:hint="eastAsia" w:ascii="宋体" w:hAnsi="宋体" w:eastAsia="宋体"/>
                <w:sz w:val="20"/>
                <w:szCs w:val="20"/>
              </w:rPr>
            </w:pPr>
          </w:p>
        </w:tc>
        <w:tc>
          <w:tcPr>
            <w:tcW w:w="2126" w:type="dxa"/>
            <w:vMerge w:val="continue"/>
            <w:vAlign w:val="center"/>
          </w:tcPr>
          <w:p w14:paraId="219A13D4">
            <w:pPr>
              <w:spacing w:line="520" w:lineRule="exact"/>
              <w:contextualSpacing/>
              <w:rPr>
                <w:rFonts w:hint="eastAsia" w:ascii="宋体" w:hAnsi="宋体" w:eastAsia="宋体"/>
                <w:sz w:val="20"/>
                <w:szCs w:val="20"/>
              </w:rPr>
            </w:pPr>
          </w:p>
        </w:tc>
        <w:tc>
          <w:tcPr>
            <w:tcW w:w="709" w:type="dxa"/>
            <w:vAlign w:val="center"/>
          </w:tcPr>
          <w:p w14:paraId="2EF76A22">
            <w:pPr>
              <w:spacing w:line="520" w:lineRule="exact"/>
              <w:contextualSpacing/>
              <w:jc w:val="center"/>
              <w:rPr>
                <w:rFonts w:hint="eastAsia" w:ascii="宋体" w:hAnsi="宋体" w:eastAsia="宋体"/>
                <w:sz w:val="20"/>
                <w:szCs w:val="20"/>
              </w:rPr>
            </w:pPr>
            <w:r>
              <w:rPr>
                <w:rFonts w:hint="eastAsia" w:ascii="宋体" w:hAnsi="宋体" w:eastAsia="宋体"/>
                <w:sz w:val="20"/>
                <w:szCs w:val="20"/>
              </w:rPr>
              <w:t>4</w:t>
            </w:r>
          </w:p>
        </w:tc>
        <w:tc>
          <w:tcPr>
            <w:tcW w:w="4252" w:type="dxa"/>
            <w:vAlign w:val="center"/>
          </w:tcPr>
          <w:p w14:paraId="64AF6414">
            <w:pPr>
              <w:spacing w:line="520" w:lineRule="exact"/>
              <w:contextualSpacing/>
              <w:rPr>
                <w:rFonts w:hint="eastAsia" w:ascii="宋体" w:hAnsi="宋体" w:eastAsia="宋体"/>
                <w:sz w:val="20"/>
                <w:szCs w:val="20"/>
              </w:rPr>
            </w:pPr>
            <w:r>
              <w:rPr>
                <w:rFonts w:hint="eastAsia" w:ascii="宋体" w:hAnsi="宋体" w:eastAsia="宋体"/>
                <w:sz w:val="20"/>
                <w:szCs w:val="20"/>
              </w:rPr>
              <w:t>视频数据  删/改（更改视频跟新建操作一致）</w:t>
            </w:r>
          </w:p>
        </w:tc>
      </w:tr>
      <w:tr w14:paraId="08AB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95" w:type="dxa"/>
            <w:vAlign w:val="center"/>
          </w:tcPr>
          <w:p w14:paraId="74CB05DA">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12</w:t>
            </w:r>
          </w:p>
        </w:tc>
        <w:tc>
          <w:tcPr>
            <w:tcW w:w="2126" w:type="dxa"/>
            <w:vAlign w:val="center"/>
          </w:tcPr>
          <w:p w14:paraId="2BAC6CF7">
            <w:pPr>
              <w:spacing w:line="520" w:lineRule="exact"/>
              <w:contextualSpacing/>
              <w:jc w:val="center"/>
              <w:rPr>
                <w:rFonts w:hint="eastAsia" w:ascii="宋体" w:hAnsi="宋体" w:eastAsia="宋体"/>
                <w:sz w:val="20"/>
                <w:szCs w:val="20"/>
              </w:rPr>
            </w:pPr>
            <w:r>
              <w:rPr>
                <w:rFonts w:hint="eastAsia" w:ascii="宋体" w:hAnsi="宋体" w:eastAsia="宋体"/>
                <w:sz w:val="20"/>
                <w:szCs w:val="20"/>
              </w:rPr>
              <w:t>网站功能定期升级</w:t>
            </w:r>
          </w:p>
        </w:tc>
        <w:tc>
          <w:tcPr>
            <w:tcW w:w="709" w:type="dxa"/>
            <w:vAlign w:val="center"/>
          </w:tcPr>
          <w:p w14:paraId="10DD0172">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w:t>
            </w:r>
          </w:p>
        </w:tc>
        <w:tc>
          <w:tcPr>
            <w:tcW w:w="4252" w:type="dxa"/>
            <w:vAlign w:val="center"/>
          </w:tcPr>
          <w:p w14:paraId="098D315C">
            <w:pPr>
              <w:spacing w:line="520" w:lineRule="exact"/>
              <w:contextualSpacing/>
              <w:rPr>
                <w:rFonts w:hint="eastAsia" w:ascii="宋体" w:hAnsi="宋体" w:eastAsia="宋体"/>
                <w:sz w:val="20"/>
                <w:szCs w:val="20"/>
              </w:rPr>
            </w:pPr>
            <w:r>
              <w:rPr>
                <w:rFonts w:hint="eastAsia" w:ascii="宋体" w:hAnsi="宋体" w:eastAsia="宋体"/>
                <w:sz w:val="20"/>
                <w:szCs w:val="20"/>
              </w:rPr>
              <w:t>提供每月一次网站功能升级（如有，包括补丁安装）</w:t>
            </w:r>
          </w:p>
        </w:tc>
      </w:tr>
      <w:tr w14:paraId="383F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5" w:type="dxa"/>
            <w:vAlign w:val="center"/>
          </w:tcPr>
          <w:p w14:paraId="2BD1EA2A">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13</w:t>
            </w:r>
          </w:p>
        </w:tc>
        <w:tc>
          <w:tcPr>
            <w:tcW w:w="2126" w:type="dxa"/>
            <w:vAlign w:val="center"/>
          </w:tcPr>
          <w:p w14:paraId="2F110814">
            <w:pPr>
              <w:spacing w:line="520" w:lineRule="exact"/>
              <w:contextualSpacing/>
              <w:jc w:val="center"/>
              <w:rPr>
                <w:rFonts w:hint="eastAsia" w:ascii="宋体" w:hAnsi="宋体" w:eastAsia="宋体"/>
                <w:sz w:val="20"/>
                <w:szCs w:val="20"/>
              </w:rPr>
            </w:pPr>
            <w:r>
              <w:rPr>
                <w:rFonts w:hint="eastAsia" w:ascii="宋体" w:hAnsi="宋体" w:eastAsia="宋体"/>
                <w:sz w:val="20"/>
                <w:szCs w:val="20"/>
              </w:rPr>
              <w:t>BUG修复</w:t>
            </w:r>
          </w:p>
        </w:tc>
        <w:tc>
          <w:tcPr>
            <w:tcW w:w="709" w:type="dxa"/>
            <w:vAlign w:val="center"/>
          </w:tcPr>
          <w:p w14:paraId="3B6FB14C">
            <w:pPr>
              <w:spacing w:line="520" w:lineRule="exact"/>
              <w:contextualSpacing/>
              <w:jc w:val="center"/>
              <w:rPr>
                <w:rFonts w:hint="eastAsia" w:ascii="宋体" w:hAnsi="宋体" w:eastAsia="宋体"/>
                <w:sz w:val="20"/>
                <w:szCs w:val="20"/>
              </w:rPr>
            </w:pPr>
            <w:r>
              <w:rPr>
                <w:rFonts w:hint="eastAsia" w:ascii="宋体" w:hAnsi="宋体" w:eastAsia="宋体"/>
                <w:sz w:val="20"/>
                <w:szCs w:val="20"/>
              </w:rPr>
              <w:t>1</w:t>
            </w:r>
          </w:p>
        </w:tc>
        <w:tc>
          <w:tcPr>
            <w:tcW w:w="4252" w:type="dxa"/>
            <w:vAlign w:val="center"/>
          </w:tcPr>
          <w:p w14:paraId="46F175C5">
            <w:pPr>
              <w:spacing w:line="520" w:lineRule="exact"/>
              <w:contextualSpacing/>
              <w:rPr>
                <w:rFonts w:hint="eastAsia" w:ascii="宋体" w:hAnsi="宋体" w:eastAsia="宋体"/>
                <w:sz w:val="20"/>
                <w:szCs w:val="20"/>
              </w:rPr>
            </w:pPr>
            <w:r>
              <w:rPr>
                <w:rFonts w:hint="eastAsia" w:ascii="宋体" w:hAnsi="宋体" w:eastAsia="宋体"/>
                <w:sz w:val="20"/>
                <w:szCs w:val="20"/>
              </w:rPr>
              <w:t>负责修复网站功能BUG，保障网站功能的正常运行</w:t>
            </w:r>
          </w:p>
        </w:tc>
      </w:tr>
    </w:tbl>
    <w:p w14:paraId="5F914FE2">
      <w:pPr>
        <w:pStyle w:val="28"/>
        <w:numPr>
          <w:ilvl w:val="0"/>
          <w:numId w:val="0"/>
        </w:numPr>
        <w:spacing w:line="520" w:lineRule="exact"/>
        <w:ind w:left="0" w:leftChars="0" w:firstLine="0" w:firstLineChars="0"/>
        <w:contextualSpacing/>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3</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zh-TW"/>
        </w:rPr>
        <w:t>代运维媒体美工支持服务</w:t>
      </w:r>
      <w:r>
        <w:rPr>
          <w:rFonts w:hint="eastAsia" w:ascii="宋体" w:hAnsi="宋体" w:eastAsia="宋体" w:cs="宋体"/>
          <w:sz w:val="24"/>
          <w:szCs w:val="24"/>
        </w:rPr>
        <w:tab/>
      </w:r>
    </w:p>
    <w:p w14:paraId="64B269BD">
      <w:pPr>
        <w:pStyle w:val="28"/>
        <w:numPr>
          <w:ilvl w:val="0"/>
          <w:numId w:val="6"/>
        </w:numPr>
        <w:spacing w:line="520" w:lineRule="exact"/>
        <w:ind w:left="0" w:firstLine="0"/>
        <w:contextualSpacing/>
        <w:rPr>
          <w:rFonts w:hint="eastAsia" w:ascii="宋体" w:hAnsi="宋体" w:eastAsia="宋体"/>
          <w:sz w:val="24"/>
          <w:szCs w:val="24"/>
        </w:rPr>
      </w:pPr>
      <w:r>
        <w:rPr>
          <w:rFonts w:hint="eastAsia" w:ascii="宋体" w:hAnsi="宋体" w:eastAsia="宋体"/>
          <w:sz w:val="24"/>
          <w:szCs w:val="24"/>
        </w:rPr>
        <w:t>Banner图设计（通用版式）</w:t>
      </w:r>
    </w:p>
    <w:p w14:paraId="2B8F734B">
      <w:pPr>
        <w:pStyle w:val="28"/>
        <w:numPr>
          <w:ilvl w:val="0"/>
          <w:numId w:val="6"/>
        </w:numPr>
        <w:spacing w:line="520" w:lineRule="exact"/>
        <w:ind w:left="0" w:firstLine="0"/>
        <w:contextualSpacing/>
        <w:rPr>
          <w:rFonts w:hint="eastAsia" w:ascii="宋体" w:hAnsi="宋体" w:eastAsia="宋体"/>
          <w:sz w:val="24"/>
          <w:szCs w:val="24"/>
        </w:rPr>
      </w:pPr>
      <w:r>
        <w:rPr>
          <w:rFonts w:hint="eastAsia" w:ascii="宋体" w:hAnsi="宋体" w:eastAsia="宋体"/>
          <w:sz w:val="24"/>
          <w:szCs w:val="24"/>
        </w:rPr>
        <w:t>专题页面设计（通用版式）</w:t>
      </w:r>
    </w:p>
    <w:p w14:paraId="3946D2D9">
      <w:pPr>
        <w:pStyle w:val="28"/>
        <w:numPr>
          <w:ilvl w:val="0"/>
          <w:numId w:val="6"/>
        </w:numPr>
        <w:spacing w:line="520" w:lineRule="exact"/>
        <w:ind w:left="0" w:firstLine="0"/>
        <w:contextualSpacing/>
        <w:rPr>
          <w:rFonts w:hint="eastAsia" w:ascii="宋体" w:hAnsi="宋体" w:eastAsia="宋体"/>
          <w:sz w:val="24"/>
          <w:szCs w:val="24"/>
        </w:rPr>
      </w:pPr>
      <w:r>
        <w:rPr>
          <w:rFonts w:hint="eastAsia" w:ascii="宋体" w:hAnsi="宋体" w:eastAsia="宋体"/>
          <w:sz w:val="24"/>
          <w:szCs w:val="24"/>
        </w:rPr>
        <w:t>对应页面手机响应式设计（通用版本）</w:t>
      </w:r>
    </w:p>
    <w:p w14:paraId="6D13970F">
      <w:pPr>
        <w:pStyle w:val="28"/>
        <w:numPr>
          <w:ilvl w:val="0"/>
          <w:numId w:val="6"/>
        </w:numPr>
        <w:spacing w:line="520" w:lineRule="exact"/>
        <w:ind w:left="0" w:firstLine="0"/>
        <w:contextualSpacing/>
        <w:rPr>
          <w:rFonts w:hint="eastAsia" w:ascii="宋体" w:hAnsi="宋体" w:eastAsia="宋体"/>
          <w:sz w:val="24"/>
          <w:szCs w:val="24"/>
        </w:rPr>
      </w:pPr>
      <w:r>
        <w:rPr>
          <w:rFonts w:hint="eastAsia" w:ascii="宋体" w:hAnsi="宋体" w:eastAsia="宋体"/>
          <w:sz w:val="24"/>
          <w:szCs w:val="24"/>
        </w:rPr>
        <w:t>设计修改（单个</w:t>
      </w:r>
      <w:r>
        <w:rPr>
          <w:rFonts w:hint="eastAsia" w:ascii="宋体" w:hAnsi="宋体" w:eastAsia="宋体"/>
          <w:sz w:val="24"/>
          <w:szCs w:val="24"/>
          <w:lang w:eastAsia="zh-Hans"/>
        </w:rPr>
        <w:t>设计</w:t>
      </w:r>
      <w:r>
        <w:rPr>
          <w:rFonts w:hint="eastAsia" w:ascii="宋体" w:hAnsi="宋体" w:eastAsia="宋体"/>
          <w:sz w:val="24"/>
          <w:szCs w:val="24"/>
        </w:rPr>
        <w:t>≤3次）</w:t>
      </w:r>
    </w:p>
    <w:p w14:paraId="777BC3B0">
      <w:pPr>
        <w:spacing w:line="520" w:lineRule="exact"/>
        <w:contextualSpacing/>
        <w:rPr>
          <w:rFonts w:hint="eastAsia" w:ascii="宋体" w:hAnsi="宋体" w:eastAsia="宋体"/>
          <w:i/>
          <w:iCs/>
          <w:sz w:val="24"/>
          <w:szCs w:val="24"/>
        </w:rPr>
      </w:pPr>
      <w:r>
        <w:rPr>
          <w:rFonts w:hint="eastAsia" w:ascii="宋体" w:hAnsi="宋体" w:eastAsia="宋体"/>
          <w:i/>
          <w:iCs/>
          <w:sz w:val="24"/>
          <w:szCs w:val="24"/>
        </w:rPr>
        <w:t>注释：通用版式，提供几套已提前设计好的样式供选择，只可以调整文案以及设计元素。</w:t>
      </w:r>
    </w:p>
    <w:p w14:paraId="620F272E">
      <w:pPr>
        <w:pStyle w:val="28"/>
        <w:numPr>
          <w:ilvl w:val="0"/>
          <w:numId w:val="0"/>
        </w:numPr>
        <w:spacing w:line="520" w:lineRule="exact"/>
        <w:ind w:left="0" w:leftChars="0" w:firstLine="0" w:firstLineChars="0"/>
        <w:contextualSpacing/>
        <w:rPr>
          <w:rFonts w:hint="eastAsia" w:ascii="宋体" w:hAnsi="宋体" w:eastAsia="宋体"/>
          <w:bCs/>
          <w:sz w:val="24"/>
          <w:szCs w:val="24"/>
          <w:lang w:val="zh-TW"/>
        </w:rPr>
      </w:pP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4</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zh-TW"/>
        </w:rPr>
        <w:t>服务器代运维服务</w:t>
      </w:r>
    </w:p>
    <w:p w14:paraId="7A5EED71">
      <w:pPr>
        <w:pStyle w:val="28"/>
        <w:numPr>
          <w:ilvl w:val="0"/>
          <w:numId w:val="7"/>
        </w:numPr>
        <w:spacing w:line="520" w:lineRule="exact"/>
        <w:ind w:left="0" w:firstLine="0"/>
        <w:contextualSpacing/>
        <w:rPr>
          <w:rFonts w:hint="eastAsia" w:ascii="宋体" w:hAnsi="宋体" w:eastAsia="宋体"/>
          <w:bCs/>
          <w:sz w:val="24"/>
          <w:szCs w:val="24"/>
          <w:lang w:val="zh-TW"/>
        </w:rPr>
      </w:pPr>
      <w:r>
        <w:rPr>
          <w:rFonts w:hint="eastAsia" w:ascii="宋体" w:hAnsi="宋体" w:eastAsia="宋体"/>
          <w:bCs/>
          <w:sz w:val="24"/>
          <w:szCs w:val="24"/>
          <w:lang w:val="zh-TW"/>
        </w:rPr>
        <w:t>服务器安装、配置、</w:t>
      </w:r>
      <w:r>
        <w:rPr>
          <w:rFonts w:hint="eastAsia" w:ascii="宋体" w:hAnsi="宋体" w:eastAsia="宋体"/>
          <w:bCs/>
          <w:sz w:val="24"/>
          <w:szCs w:val="24"/>
        </w:rPr>
        <w:t>监测、代运维</w:t>
      </w:r>
      <w:r>
        <w:rPr>
          <w:rFonts w:hint="eastAsia" w:ascii="宋体" w:hAnsi="宋体" w:eastAsia="宋体"/>
          <w:bCs/>
          <w:sz w:val="24"/>
          <w:szCs w:val="24"/>
          <w:lang w:val="zh-TW"/>
        </w:rPr>
        <w:t>服务</w:t>
      </w:r>
    </w:p>
    <w:p w14:paraId="26C8112C">
      <w:pPr>
        <w:pStyle w:val="28"/>
        <w:numPr>
          <w:ilvl w:val="0"/>
          <w:numId w:val="7"/>
        </w:numPr>
        <w:spacing w:line="520" w:lineRule="exact"/>
        <w:ind w:left="0" w:firstLine="0"/>
        <w:contextualSpacing/>
        <w:rPr>
          <w:rFonts w:hint="eastAsia" w:ascii="宋体" w:hAnsi="宋体" w:eastAsia="宋体"/>
          <w:bCs/>
          <w:sz w:val="24"/>
          <w:szCs w:val="24"/>
          <w:lang w:val="zh-TW"/>
        </w:rPr>
      </w:pPr>
      <w:r>
        <w:rPr>
          <w:rFonts w:hint="eastAsia" w:ascii="宋体" w:hAnsi="宋体" w:eastAsia="宋体"/>
          <w:bCs/>
          <w:sz w:val="24"/>
          <w:szCs w:val="24"/>
        </w:rPr>
        <w:t>操作系统安装、配置服务</w:t>
      </w:r>
    </w:p>
    <w:p w14:paraId="273AFDA4">
      <w:pPr>
        <w:pStyle w:val="28"/>
        <w:numPr>
          <w:ilvl w:val="0"/>
          <w:numId w:val="7"/>
        </w:numPr>
        <w:spacing w:line="520" w:lineRule="exact"/>
        <w:ind w:left="0" w:firstLine="0"/>
        <w:contextualSpacing/>
        <w:rPr>
          <w:rFonts w:hint="eastAsia" w:ascii="宋体" w:hAnsi="宋体" w:eastAsia="宋体"/>
          <w:bCs/>
          <w:sz w:val="24"/>
          <w:szCs w:val="24"/>
          <w:lang w:val="zh-TW"/>
        </w:rPr>
      </w:pPr>
      <w:r>
        <w:rPr>
          <w:rFonts w:hint="eastAsia" w:ascii="宋体" w:hAnsi="宋体" w:eastAsia="宋体"/>
          <w:bCs/>
          <w:sz w:val="24"/>
          <w:szCs w:val="24"/>
        </w:rPr>
        <w:t>数据库安装、配置服务</w:t>
      </w:r>
    </w:p>
    <w:p w14:paraId="1D2148C8">
      <w:pPr>
        <w:pStyle w:val="28"/>
        <w:numPr>
          <w:ilvl w:val="0"/>
          <w:numId w:val="0"/>
        </w:numPr>
        <w:spacing w:line="520" w:lineRule="exact"/>
        <w:ind w:left="0" w:leftChars="0" w:firstLine="0" w:firstLineChars="0"/>
        <w:contextualSpacing/>
        <w:rPr>
          <w:rFonts w:hint="eastAsia" w:ascii="宋体" w:hAnsi="宋体" w:eastAsia="宋体"/>
          <w:b/>
          <w:bCs/>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5</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zh-TW"/>
        </w:rPr>
        <w:t>系统数据代维服务</w:t>
      </w:r>
    </w:p>
    <w:p w14:paraId="20F1F015">
      <w:pPr>
        <w:pStyle w:val="28"/>
        <w:numPr>
          <w:ilvl w:val="0"/>
          <w:numId w:val="8"/>
        </w:numPr>
        <w:spacing w:line="520" w:lineRule="exact"/>
        <w:ind w:left="0" w:firstLine="0"/>
        <w:contextualSpacing/>
        <w:rPr>
          <w:rFonts w:hint="eastAsia" w:ascii="宋体" w:hAnsi="宋体" w:eastAsia="宋体"/>
          <w:bCs/>
          <w:sz w:val="24"/>
          <w:szCs w:val="24"/>
          <w:lang w:val="zh-TW"/>
        </w:rPr>
      </w:pPr>
      <w:r>
        <w:rPr>
          <w:rFonts w:hint="eastAsia" w:ascii="宋体" w:hAnsi="宋体" w:eastAsia="宋体"/>
          <w:bCs/>
          <w:sz w:val="24"/>
          <w:szCs w:val="24"/>
          <w:lang w:val="zh-TW"/>
        </w:rPr>
        <w:t>数据按需</w:t>
      </w:r>
      <w:r>
        <w:rPr>
          <w:rFonts w:hint="eastAsia" w:ascii="宋体" w:hAnsi="宋体" w:eastAsia="宋体"/>
          <w:bCs/>
          <w:sz w:val="24"/>
          <w:szCs w:val="24"/>
        </w:rPr>
        <w:t>导入/</w:t>
      </w:r>
      <w:r>
        <w:rPr>
          <w:rFonts w:hint="eastAsia" w:ascii="宋体" w:hAnsi="宋体" w:eastAsia="宋体"/>
          <w:bCs/>
          <w:sz w:val="24"/>
          <w:szCs w:val="24"/>
          <w:lang w:val="zh-TW"/>
        </w:rPr>
        <w:t>导出服务</w:t>
      </w:r>
    </w:p>
    <w:p w14:paraId="7C941DC8">
      <w:pPr>
        <w:pStyle w:val="28"/>
        <w:numPr>
          <w:ilvl w:val="0"/>
          <w:numId w:val="8"/>
        </w:numPr>
        <w:spacing w:line="520" w:lineRule="exact"/>
        <w:ind w:left="0" w:firstLine="0"/>
        <w:contextualSpacing/>
        <w:rPr>
          <w:rFonts w:hint="eastAsia" w:ascii="宋体" w:hAnsi="宋体" w:eastAsia="宋体"/>
          <w:bCs/>
          <w:sz w:val="24"/>
          <w:szCs w:val="24"/>
          <w:lang w:val="zh-TW"/>
        </w:rPr>
      </w:pPr>
      <w:r>
        <w:rPr>
          <w:rFonts w:hint="eastAsia" w:ascii="宋体" w:hAnsi="宋体" w:eastAsia="宋体"/>
          <w:bCs/>
          <w:sz w:val="24"/>
          <w:szCs w:val="24"/>
        </w:rPr>
        <w:t>数据按需删除服务</w:t>
      </w:r>
    </w:p>
    <w:p w14:paraId="59477EC9">
      <w:pPr>
        <w:pStyle w:val="28"/>
        <w:numPr>
          <w:ilvl w:val="0"/>
          <w:numId w:val="8"/>
        </w:numPr>
        <w:spacing w:line="520" w:lineRule="exact"/>
        <w:ind w:left="0" w:firstLine="0"/>
        <w:contextualSpacing/>
        <w:rPr>
          <w:rFonts w:hint="eastAsia" w:ascii="宋体" w:hAnsi="宋体" w:eastAsia="宋体"/>
          <w:bCs/>
          <w:sz w:val="24"/>
          <w:szCs w:val="24"/>
        </w:rPr>
      </w:pPr>
      <w:r>
        <w:rPr>
          <w:rFonts w:hint="eastAsia" w:ascii="宋体" w:hAnsi="宋体" w:eastAsia="宋体"/>
          <w:bCs/>
          <w:sz w:val="24"/>
          <w:szCs w:val="24"/>
        </w:rPr>
        <w:t>数据按需替换服务</w:t>
      </w:r>
    </w:p>
    <w:p w14:paraId="1FAEA05E">
      <w:pPr>
        <w:pStyle w:val="28"/>
        <w:numPr>
          <w:ilvl w:val="0"/>
          <w:numId w:val="8"/>
        </w:numPr>
        <w:spacing w:line="520" w:lineRule="exact"/>
        <w:ind w:left="0" w:firstLine="0"/>
        <w:contextualSpacing/>
        <w:rPr>
          <w:rFonts w:hint="eastAsia" w:ascii="宋体" w:hAnsi="宋体" w:eastAsia="宋体"/>
          <w:bCs/>
          <w:sz w:val="24"/>
          <w:szCs w:val="24"/>
        </w:rPr>
      </w:pPr>
      <w:r>
        <w:rPr>
          <w:rFonts w:hint="eastAsia" w:ascii="宋体" w:hAnsi="宋体" w:eastAsia="宋体"/>
          <w:bCs/>
          <w:sz w:val="24"/>
          <w:szCs w:val="24"/>
        </w:rPr>
        <w:t>数据库打包、迁移服务</w:t>
      </w:r>
    </w:p>
    <w:p w14:paraId="094AF996">
      <w:pPr>
        <w:pStyle w:val="28"/>
        <w:numPr>
          <w:ilvl w:val="0"/>
          <w:numId w:val="0"/>
        </w:numPr>
        <w:spacing w:line="520" w:lineRule="exact"/>
        <w:ind w:left="0" w:leftChars="0" w:firstLine="0" w:firstLineChars="0"/>
        <w:contextualSpacing/>
        <w:rPr>
          <w:rFonts w:hint="eastAsia" w:ascii="宋体" w:hAnsi="宋体" w:eastAsia="宋体"/>
          <w:b/>
          <w:bCs/>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6</w:t>
      </w:r>
      <w:r>
        <w:rPr>
          <w:rFonts w:hint="eastAsia" w:ascii="宋体" w:hAnsi="宋体" w:eastAsia="宋体" w:cs="宋体"/>
          <w:sz w:val="24"/>
          <w:szCs w:val="24"/>
          <w:lang w:val="en-US" w:eastAsia="zh-CN" w:bidi="ar-SA"/>
        </w:rPr>
        <w:t>)</w:t>
      </w:r>
      <w:r>
        <w:rPr>
          <w:rFonts w:hint="eastAsia" w:ascii="宋体" w:hAnsi="宋体" w:eastAsia="宋体"/>
          <w:b/>
          <w:bCs/>
          <w:sz w:val="24"/>
          <w:szCs w:val="24"/>
        </w:rPr>
        <w:t>技术咨询服务</w:t>
      </w:r>
    </w:p>
    <w:p w14:paraId="1C55B541">
      <w:pPr>
        <w:pStyle w:val="28"/>
        <w:numPr>
          <w:ilvl w:val="0"/>
          <w:numId w:val="9"/>
        </w:numPr>
        <w:spacing w:line="520" w:lineRule="exact"/>
        <w:ind w:left="0" w:firstLine="0"/>
        <w:contextualSpacing/>
        <w:rPr>
          <w:rFonts w:hint="eastAsia" w:ascii="宋体" w:hAnsi="宋体" w:eastAsia="宋体"/>
          <w:bCs/>
          <w:sz w:val="24"/>
          <w:szCs w:val="24"/>
          <w:lang w:val="zh-TW"/>
        </w:rPr>
      </w:pPr>
      <w:r>
        <w:rPr>
          <w:rFonts w:hint="eastAsia" w:ascii="宋体" w:hAnsi="宋体" w:eastAsia="宋体"/>
          <w:bCs/>
          <w:sz w:val="24"/>
          <w:szCs w:val="24"/>
          <w:lang w:val="zh-TW"/>
        </w:rPr>
        <w:t>功能需求分析和评估服务</w:t>
      </w:r>
    </w:p>
    <w:p w14:paraId="1F173636">
      <w:pPr>
        <w:pStyle w:val="28"/>
        <w:numPr>
          <w:ilvl w:val="0"/>
          <w:numId w:val="9"/>
        </w:numPr>
        <w:spacing w:line="520" w:lineRule="exact"/>
        <w:ind w:left="0" w:firstLine="0"/>
        <w:contextualSpacing/>
        <w:rPr>
          <w:rFonts w:hint="eastAsia" w:ascii="宋体" w:hAnsi="宋体" w:eastAsia="宋体"/>
          <w:bCs/>
          <w:sz w:val="24"/>
          <w:szCs w:val="24"/>
        </w:rPr>
      </w:pPr>
      <w:r>
        <w:rPr>
          <w:rFonts w:hint="eastAsia" w:ascii="宋体" w:hAnsi="宋体" w:eastAsia="宋体"/>
          <w:bCs/>
          <w:sz w:val="24"/>
          <w:szCs w:val="24"/>
          <w:lang w:val="zh-TW"/>
        </w:rPr>
        <w:t>医院互联网技术顾问服</w:t>
      </w:r>
      <w:r>
        <w:rPr>
          <w:rFonts w:hint="eastAsia" w:ascii="宋体" w:hAnsi="宋体" w:eastAsia="宋体"/>
          <w:bCs/>
          <w:sz w:val="24"/>
          <w:szCs w:val="24"/>
        </w:rPr>
        <w:t>务</w:t>
      </w:r>
    </w:p>
    <w:p w14:paraId="588786EA">
      <w:pPr>
        <w:pStyle w:val="28"/>
        <w:numPr>
          <w:ilvl w:val="0"/>
          <w:numId w:val="9"/>
        </w:numPr>
        <w:spacing w:line="520" w:lineRule="exact"/>
        <w:ind w:left="0" w:firstLine="0"/>
        <w:contextualSpacing/>
        <w:rPr>
          <w:rFonts w:hint="eastAsia" w:ascii="宋体" w:hAnsi="宋体" w:eastAsia="宋体"/>
          <w:sz w:val="24"/>
          <w:szCs w:val="24"/>
        </w:rPr>
      </w:pPr>
      <w:r>
        <w:rPr>
          <w:rFonts w:hint="eastAsia" w:ascii="宋体" w:hAnsi="宋体" w:eastAsia="宋体"/>
          <w:sz w:val="24"/>
          <w:szCs w:val="24"/>
        </w:rPr>
        <w:t>节日提醒(节日提醒、系统功能使用情况提醒、安全提醒、专题设计提醒等)</w:t>
      </w:r>
    </w:p>
    <w:p w14:paraId="624F9BEB">
      <w:pPr>
        <w:pStyle w:val="28"/>
        <w:numPr>
          <w:ilvl w:val="0"/>
          <w:numId w:val="9"/>
        </w:numPr>
        <w:spacing w:line="520" w:lineRule="exact"/>
        <w:ind w:left="0" w:firstLine="0"/>
        <w:contextualSpacing/>
        <w:rPr>
          <w:rFonts w:hint="eastAsia" w:ascii="宋体" w:hAnsi="宋体" w:eastAsia="宋体"/>
          <w:sz w:val="24"/>
          <w:szCs w:val="24"/>
        </w:rPr>
      </w:pPr>
      <w:r>
        <w:rPr>
          <w:rFonts w:hint="eastAsia" w:ascii="宋体" w:hAnsi="宋体" w:eastAsia="宋体"/>
          <w:sz w:val="24"/>
          <w:szCs w:val="24"/>
          <w:lang w:eastAsia="zh-Hans"/>
        </w:rPr>
        <w:t>按需提供</w:t>
      </w:r>
      <w:r>
        <w:rPr>
          <w:rFonts w:hint="eastAsia" w:ascii="宋体" w:hAnsi="宋体" w:eastAsia="宋体"/>
          <w:sz w:val="24"/>
          <w:szCs w:val="24"/>
        </w:rPr>
        <w:t>培训服务（≤2</w:t>
      </w:r>
      <w:r>
        <w:rPr>
          <w:rFonts w:hint="eastAsia" w:ascii="宋体" w:hAnsi="宋体" w:eastAsia="宋体"/>
          <w:sz w:val="24"/>
          <w:szCs w:val="24"/>
          <w:lang w:eastAsia="zh-Hans"/>
        </w:rPr>
        <w:t>次/年</w:t>
      </w:r>
      <w:r>
        <w:rPr>
          <w:rFonts w:hint="eastAsia" w:ascii="宋体" w:hAnsi="宋体" w:eastAsia="宋体"/>
          <w:sz w:val="24"/>
          <w:szCs w:val="24"/>
        </w:rPr>
        <w:t>）</w:t>
      </w:r>
    </w:p>
    <w:p w14:paraId="1F389827">
      <w:pPr>
        <w:pStyle w:val="28"/>
        <w:numPr>
          <w:ilvl w:val="0"/>
          <w:numId w:val="9"/>
        </w:numPr>
        <w:spacing w:line="520" w:lineRule="exact"/>
        <w:ind w:left="0" w:firstLine="0"/>
        <w:contextualSpacing/>
        <w:rPr>
          <w:rFonts w:hint="eastAsia" w:ascii="宋体" w:hAnsi="宋体" w:eastAsia="宋体"/>
          <w:bCs/>
          <w:sz w:val="24"/>
          <w:szCs w:val="24"/>
          <w:lang w:val="zh-TW"/>
        </w:rPr>
      </w:pPr>
      <w:r>
        <w:rPr>
          <w:rFonts w:hint="eastAsia" w:ascii="宋体" w:hAnsi="宋体" w:eastAsia="宋体"/>
          <w:sz w:val="24"/>
          <w:szCs w:val="24"/>
        </w:rPr>
        <w:t>系统操作/功能咨询</w:t>
      </w:r>
    </w:p>
    <w:p w14:paraId="6F469F1B">
      <w:pPr>
        <w:pStyle w:val="28"/>
        <w:numPr>
          <w:ilvl w:val="0"/>
          <w:numId w:val="0"/>
        </w:numPr>
        <w:spacing w:line="520" w:lineRule="exact"/>
        <w:ind w:left="0" w:leftChars="0" w:firstLine="0" w:firstLineChars="0"/>
        <w:contextualSpacing/>
        <w:rPr>
          <w:rFonts w:hint="eastAsia" w:ascii="宋体" w:hAnsi="宋体" w:eastAsia="宋体"/>
          <w:b/>
          <w:bCs/>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7</w:t>
      </w:r>
      <w:r>
        <w:rPr>
          <w:rFonts w:hint="eastAsia" w:ascii="宋体" w:hAnsi="宋体" w:eastAsia="宋体" w:cs="宋体"/>
          <w:sz w:val="24"/>
          <w:szCs w:val="24"/>
          <w:lang w:val="en-US" w:eastAsia="zh-CN" w:bidi="ar-SA"/>
        </w:rPr>
        <w:t>)</w:t>
      </w:r>
      <w:r>
        <w:rPr>
          <w:rFonts w:hint="eastAsia" w:ascii="宋体" w:hAnsi="宋体" w:eastAsia="宋体" w:cs="宋体"/>
          <w:b/>
          <w:bCs/>
          <w:sz w:val="24"/>
          <w:szCs w:val="24"/>
          <w:lang w:val="en-US" w:eastAsia="zh-CN" w:bidi="ar-SA"/>
        </w:rPr>
        <w:t>具有医院官方网站攻防演练经验：</w:t>
      </w:r>
    </w:p>
    <w:p w14:paraId="1F16A20D">
      <w:pPr>
        <w:spacing w:before="0" w:line="520" w:lineRule="exact"/>
        <w:ind w:firstLine="0" w:firstLineChars="0"/>
        <w:contextualSpacing/>
        <w:rPr>
          <w:rFonts w:hint="eastAsia" w:ascii="宋体" w:hAnsi="宋体" w:eastAsia="宋体" w:cs="宋体"/>
          <w:kern w:val="2"/>
          <w:sz w:val="24"/>
          <w:szCs w:val="24"/>
        </w:rPr>
      </w:pPr>
      <w:r>
        <w:rPr>
          <w:rFonts w:hint="eastAsia" w:ascii="宋体" w:hAnsi="宋体" w:eastAsia="宋体" w:cs="宋体"/>
          <w:kern w:val="2"/>
          <w:sz w:val="24"/>
          <w:szCs w:val="24"/>
        </w:rPr>
        <w:t>具有医院官方网站攻防演练经验：</w:t>
      </w:r>
    </w:p>
    <w:p w14:paraId="6A13B466">
      <w:pPr>
        <w:spacing w:line="520" w:lineRule="exact"/>
        <w:ind w:firstLine="0"/>
        <w:contextualSpacing/>
        <w:rPr>
          <w:rFonts w:hint="eastAsia" w:ascii="宋体" w:hAnsi="宋体" w:eastAsia="宋体" w:cs="宋体"/>
          <w:kern w:val="2"/>
          <w:sz w:val="24"/>
          <w:szCs w:val="24"/>
          <w:lang w:eastAsia="zh-CN"/>
        </w:rPr>
      </w:pPr>
      <w:r>
        <w:rPr>
          <w:rFonts w:hint="eastAsia" w:ascii="宋体" w:hAnsi="宋体" w:eastAsia="宋体" w:cs="宋体"/>
          <w:kern w:val="2"/>
          <w:sz w:val="24"/>
          <w:szCs w:val="24"/>
        </w:rPr>
        <w:t>供应商须具备【202</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 xml:space="preserve"> 年 1 月 1 日至</w:t>
      </w:r>
      <w:r>
        <w:rPr>
          <w:rStyle w:val="13"/>
          <w:rFonts w:hint="eastAsia" w:ascii="宋体" w:hAnsi="宋体" w:eastAsia="宋体" w:cs="宋体"/>
          <w:kern w:val="2"/>
          <w:sz w:val="24"/>
          <w:szCs w:val="24"/>
          <w:lang w:val="en-US" w:eastAsia="zh-CN"/>
        </w:rPr>
        <w:t>今</w:t>
      </w:r>
      <w:r>
        <w:rPr>
          <w:rFonts w:hint="eastAsia" w:ascii="宋体" w:hAnsi="宋体" w:eastAsia="宋体" w:cs="宋体"/>
          <w:kern w:val="2"/>
          <w:sz w:val="24"/>
          <w:szCs w:val="24"/>
        </w:rPr>
        <w:t>】期间参与医院网站攻防演练的实战经验，具体要求为：曾为三级及以上医院提供过网站攻防演练或护网行动相关服务。供应商须提供对应实战经验的证明</w:t>
      </w:r>
      <w:r>
        <w:rPr>
          <w:rFonts w:hint="eastAsia" w:cs="宋体"/>
          <w:kern w:val="2"/>
          <w:sz w:val="24"/>
          <w:szCs w:val="24"/>
          <w:lang w:val="en-US" w:eastAsia="zh-CN"/>
        </w:rPr>
        <w:t>截图</w:t>
      </w:r>
      <w:r>
        <w:rPr>
          <w:rFonts w:hint="eastAsia" w:ascii="宋体" w:hAnsi="宋体" w:eastAsia="宋体" w:cs="宋体"/>
          <w:kern w:val="2"/>
          <w:sz w:val="24"/>
          <w:szCs w:val="24"/>
        </w:rPr>
        <w:t>。</w:t>
      </w:r>
    </w:p>
    <w:p w14:paraId="220A7DC2">
      <w:pPr>
        <w:pStyle w:val="3"/>
        <w:rPr>
          <w:rFonts w:hint="eastAsia" w:asciiTheme="minorEastAsia" w:hAnsiTheme="minorEastAsia"/>
          <w:sz w:val="24"/>
        </w:rPr>
      </w:pPr>
    </w:p>
    <w:p w14:paraId="1CC0DBC0">
      <w:pPr>
        <w:pStyle w:val="3"/>
        <w:rPr>
          <w:rFonts w:asciiTheme="minorEastAsia" w:hAnsiTheme="minorEastAsia"/>
          <w:sz w:val="24"/>
        </w:rPr>
      </w:pPr>
      <w:r>
        <w:rPr>
          <w:rFonts w:hint="eastAsia" w:asciiTheme="minorEastAsia" w:hAnsiTheme="minorEastAsia"/>
          <w:sz w:val="24"/>
        </w:rPr>
        <w:t>十、</w:t>
      </w:r>
      <w:r>
        <w:rPr>
          <w:rFonts w:asciiTheme="minorEastAsia" w:hAnsiTheme="minorEastAsia"/>
          <w:sz w:val="24"/>
        </w:rPr>
        <w:t>评</w:t>
      </w:r>
      <w:r>
        <w:rPr>
          <w:rFonts w:hint="eastAsia" w:asciiTheme="minorEastAsia" w:hAnsiTheme="minorEastAsia"/>
          <w:sz w:val="24"/>
        </w:rPr>
        <w:t>分</w:t>
      </w:r>
      <w:r>
        <w:rPr>
          <w:rFonts w:asciiTheme="minorEastAsia" w:hAnsiTheme="minorEastAsia"/>
          <w:sz w:val="24"/>
        </w:rPr>
        <w:t>标准</w:t>
      </w:r>
      <w:bookmarkEnd w:id="25"/>
      <w:bookmarkEnd w:id="26"/>
      <w:bookmarkEnd w:id="27"/>
    </w:p>
    <w:p w14:paraId="2DBB24B3">
      <w:pPr>
        <w:rPr>
          <w:rFonts w:asciiTheme="minorEastAsia" w:hAnsiTheme="minorEastAsia"/>
          <w:sz w:val="24"/>
        </w:rPr>
      </w:pPr>
      <w:bookmarkStart w:id="28" w:name="_Toc319072089"/>
      <w:bookmarkStart w:id="29" w:name="_Toc339014311"/>
      <w:bookmarkStart w:id="30" w:name="_Toc334776572"/>
      <w:bookmarkStart w:id="31" w:name="_Toc338941903"/>
      <w:bookmarkStart w:id="32" w:name="_Toc338685126"/>
      <w:r>
        <w:rPr>
          <w:rFonts w:asciiTheme="minorEastAsia" w:hAnsiTheme="minorEastAsia"/>
          <w:sz w:val="24"/>
        </w:rPr>
        <w:t>1.</w:t>
      </w:r>
      <w:bookmarkEnd w:id="28"/>
      <w:bookmarkEnd w:id="29"/>
      <w:bookmarkEnd w:id="30"/>
      <w:bookmarkEnd w:id="31"/>
      <w:bookmarkEnd w:id="32"/>
      <w:r>
        <w:rPr>
          <w:rFonts w:asciiTheme="minorEastAsia" w:hAnsiTheme="minorEastAsia"/>
          <w:sz w:val="24"/>
        </w:rPr>
        <w:t xml:space="preserve"> 有效性、完整性和响应程度的审核</w:t>
      </w:r>
    </w:p>
    <w:p w14:paraId="7F7BB998">
      <w:pPr>
        <w:rPr>
          <w:rFonts w:asciiTheme="minorEastAsia" w:hAnsiTheme="minorEastAsia"/>
          <w:sz w:val="24"/>
        </w:rPr>
      </w:pPr>
      <w:r>
        <w:rPr>
          <w:rFonts w:asciiTheme="minorEastAsia" w:hAnsiTheme="minorEastAsia"/>
          <w:sz w:val="24"/>
        </w:rPr>
        <w:t>2 综合评审</w:t>
      </w:r>
    </w:p>
    <w:tbl>
      <w:tblPr>
        <w:tblStyle w:val="11"/>
        <w:tblW w:w="8789"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1276"/>
        <w:gridCol w:w="850"/>
        <w:gridCol w:w="5926"/>
      </w:tblGrid>
      <w:tr w14:paraId="77472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737" w:type="dxa"/>
            <w:noWrap w:val="0"/>
            <w:vAlign w:val="center"/>
          </w:tcPr>
          <w:p w14:paraId="4EF034B2">
            <w:pPr>
              <w:pStyle w:val="29"/>
              <w:snapToGrid w:val="0"/>
              <w:ind w:left="106"/>
              <w:rPr>
                <w:rFonts w:ascii="宋体" w:hAnsi="宋体"/>
                <w:sz w:val="21"/>
                <w:szCs w:val="21"/>
              </w:rPr>
            </w:pPr>
            <w:r>
              <w:rPr>
                <w:rFonts w:hint="eastAsia" w:ascii="宋体" w:hAnsi="宋体"/>
                <w:sz w:val="21"/>
                <w:szCs w:val="21"/>
              </w:rPr>
              <w:t>内容</w:t>
            </w:r>
          </w:p>
        </w:tc>
        <w:tc>
          <w:tcPr>
            <w:tcW w:w="1276" w:type="dxa"/>
            <w:noWrap w:val="0"/>
            <w:vAlign w:val="center"/>
          </w:tcPr>
          <w:p w14:paraId="3212DBDB">
            <w:pPr>
              <w:pStyle w:val="29"/>
              <w:snapToGrid w:val="0"/>
              <w:ind w:left="107"/>
              <w:rPr>
                <w:rFonts w:ascii="宋体" w:hAnsi="宋体"/>
                <w:sz w:val="21"/>
                <w:szCs w:val="21"/>
              </w:rPr>
            </w:pPr>
            <w:r>
              <w:rPr>
                <w:rFonts w:ascii="宋体" w:hAnsi="宋体"/>
                <w:sz w:val="21"/>
                <w:szCs w:val="21"/>
              </w:rPr>
              <w:t>评审因素</w:t>
            </w:r>
          </w:p>
        </w:tc>
        <w:tc>
          <w:tcPr>
            <w:tcW w:w="850" w:type="dxa"/>
            <w:noWrap w:val="0"/>
            <w:vAlign w:val="center"/>
          </w:tcPr>
          <w:p w14:paraId="41363E9F">
            <w:pPr>
              <w:pStyle w:val="29"/>
              <w:snapToGrid w:val="0"/>
              <w:jc w:val="center"/>
              <w:rPr>
                <w:rFonts w:hint="eastAsia" w:ascii="宋体" w:hAnsi="宋体"/>
                <w:sz w:val="21"/>
                <w:szCs w:val="21"/>
              </w:rPr>
            </w:pPr>
            <w:r>
              <w:rPr>
                <w:rFonts w:hint="eastAsia" w:ascii="宋体" w:hAnsi="宋体"/>
                <w:sz w:val="21"/>
                <w:szCs w:val="21"/>
              </w:rPr>
              <w:t>分值</w:t>
            </w:r>
          </w:p>
        </w:tc>
        <w:tc>
          <w:tcPr>
            <w:tcW w:w="5926" w:type="dxa"/>
            <w:noWrap w:val="0"/>
            <w:vAlign w:val="center"/>
          </w:tcPr>
          <w:p w14:paraId="3DAC8742">
            <w:pPr>
              <w:pStyle w:val="29"/>
              <w:snapToGrid w:val="0"/>
              <w:ind w:left="106"/>
              <w:jc w:val="center"/>
              <w:rPr>
                <w:rFonts w:ascii="宋体" w:hAnsi="宋体"/>
                <w:sz w:val="21"/>
                <w:szCs w:val="21"/>
              </w:rPr>
            </w:pPr>
            <w:r>
              <w:rPr>
                <w:rFonts w:ascii="宋体" w:hAnsi="宋体"/>
                <w:sz w:val="21"/>
                <w:szCs w:val="21"/>
              </w:rPr>
              <w:t>评分标准</w:t>
            </w:r>
          </w:p>
        </w:tc>
      </w:tr>
      <w:tr w14:paraId="40072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37" w:type="dxa"/>
            <w:noWrap w:val="0"/>
            <w:vAlign w:val="center"/>
          </w:tcPr>
          <w:p w14:paraId="1C01BE0B">
            <w:pPr>
              <w:pStyle w:val="29"/>
              <w:snapToGrid w:val="0"/>
              <w:ind w:left="106"/>
              <w:rPr>
                <w:rFonts w:ascii="宋体" w:hAnsi="宋体"/>
                <w:sz w:val="21"/>
                <w:szCs w:val="21"/>
              </w:rPr>
            </w:pPr>
            <w:r>
              <w:rPr>
                <w:rFonts w:hint="eastAsia" w:ascii="宋体" w:hAnsi="宋体"/>
                <w:sz w:val="21"/>
                <w:szCs w:val="21"/>
              </w:rPr>
              <w:t>价格部分</w:t>
            </w:r>
          </w:p>
        </w:tc>
        <w:tc>
          <w:tcPr>
            <w:tcW w:w="1276" w:type="dxa"/>
            <w:noWrap w:val="0"/>
            <w:vAlign w:val="center"/>
          </w:tcPr>
          <w:p w14:paraId="570CB291">
            <w:pPr>
              <w:pStyle w:val="29"/>
              <w:snapToGrid w:val="0"/>
              <w:ind w:left="107"/>
              <w:rPr>
                <w:rFonts w:ascii="宋体" w:hAnsi="宋体"/>
                <w:sz w:val="21"/>
                <w:szCs w:val="21"/>
              </w:rPr>
            </w:pPr>
            <w:r>
              <w:rPr>
                <w:rFonts w:hint="eastAsia" w:ascii="宋体" w:hAnsi="宋体"/>
                <w:sz w:val="21"/>
                <w:szCs w:val="21"/>
              </w:rPr>
              <w:t>评标价格</w:t>
            </w:r>
          </w:p>
        </w:tc>
        <w:tc>
          <w:tcPr>
            <w:tcW w:w="850" w:type="dxa"/>
            <w:noWrap w:val="0"/>
            <w:vAlign w:val="center"/>
          </w:tcPr>
          <w:p w14:paraId="708F7369">
            <w:pPr>
              <w:pStyle w:val="29"/>
              <w:snapToGrid w:val="0"/>
              <w:ind w:left="107"/>
              <w:jc w:val="center"/>
              <w:rPr>
                <w:rFonts w:ascii="宋体" w:hAnsi="宋体"/>
                <w:sz w:val="21"/>
                <w:szCs w:val="21"/>
              </w:rPr>
            </w:pPr>
            <w:r>
              <w:rPr>
                <w:rFonts w:ascii="宋体" w:hAnsi="宋体"/>
                <w:sz w:val="21"/>
                <w:szCs w:val="21"/>
              </w:rPr>
              <w:t>10分</w:t>
            </w:r>
          </w:p>
        </w:tc>
        <w:tc>
          <w:tcPr>
            <w:tcW w:w="5926" w:type="dxa"/>
            <w:noWrap w:val="0"/>
            <w:vAlign w:val="center"/>
          </w:tcPr>
          <w:p w14:paraId="54AC4DB4">
            <w:pPr>
              <w:pStyle w:val="29"/>
              <w:snapToGrid w:val="0"/>
              <w:ind w:left="106" w:right="277"/>
              <w:rPr>
                <w:rFonts w:hint="eastAsia" w:ascii="宋体" w:hAnsi="宋体"/>
                <w:spacing w:val="3"/>
                <w:sz w:val="21"/>
                <w:szCs w:val="21"/>
              </w:rPr>
            </w:pPr>
            <w:r>
              <w:rPr>
                <w:rFonts w:hint="eastAsia" w:ascii="宋体" w:hAnsi="宋体"/>
                <w:spacing w:val="3"/>
                <w:sz w:val="21"/>
                <w:szCs w:val="21"/>
              </w:rPr>
              <w:t>评标价格分数=（评标基准价/投标报价）×价格权重（</w:t>
            </w:r>
            <w:r>
              <w:rPr>
                <w:rFonts w:ascii="宋体" w:hAnsi="宋体"/>
                <w:spacing w:val="3"/>
                <w:sz w:val="21"/>
                <w:szCs w:val="21"/>
              </w:rPr>
              <w:t>1</w:t>
            </w:r>
            <w:r>
              <w:rPr>
                <w:rFonts w:hint="eastAsia" w:ascii="宋体" w:hAnsi="宋体"/>
                <w:spacing w:val="3"/>
                <w:sz w:val="21"/>
                <w:szCs w:val="21"/>
              </w:rPr>
              <w:t>0%）×100</w:t>
            </w:r>
          </w:p>
          <w:p w14:paraId="3E3C0C2E">
            <w:pPr>
              <w:pStyle w:val="29"/>
              <w:snapToGrid w:val="0"/>
              <w:ind w:left="106" w:right="277"/>
              <w:rPr>
                <w:rFonts w:ascii="宋体" w:hAnsi="宋体"/>
                <w:sz w:val="21"/>
                <w:szCs w:val="21"/>
              </w:rPr>
            </w:pPr>
            <w:r>
              <w:rPr>
                <w:rFonts w:hint="eastAsia" w:ascii="宋体" w:hAnsi="宋体"/>
                <w:spacing w:val="3"/>
                <w:sz w:val="21"/>
                <w:szCs w:val="21"/>
              </w:rPr>
              <w:t>备注：实质性响应比选文件要求且价格最低的投标报价为评标基准价。</w:t>
            </w:r>
          </w:p>
        </w:tc>
      </w:tr>
      <w:tr w14:paraId="6DD48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737" w:type="dxa"/>
            <w:vMerge w:val="restart"/>
            <w:noWrap w:val="0"/>
            <w:vAlign w:val="center"/>
          </w:tcPr>
          <w:p w14:paraId="1DFCBE86">
            <w:pPr>
              <w:pStyle w:val="29"/>
              <w:snapToGrid w:val="0"/>
              <w:ind w:left="106"/>
              <w:rPr>
                <w:rFonts w:ascii="宋体" w:hAnsi="宋体"/>
                <w:sz w:val="21"/>
                <w:szCs w:val="21"/>
              </w:rPr>
            </w:pPr>
            <w:r>
              <w:rPr>
                <w:rFonts w:hint="eastAsia" w:ascii="宋体" w:hAnsi="宋体"/>
                <w:sz w:val="21"/>
                <w:szCs w:val="21"/>
              </w:rPr>
              <w:t>商务部分</w:t>
            </w:r>
          </w:p>
        </w:tc>
        <w:tc>
          <w:tcPr>
            <w:tcW w:w="1276" w:type="dxa"/>
            <w:noWrap w:val="0"/>
            <w:vAlign w:val="center"/>
          </w:tcPr>
          <w:p w14:paraId="1B4DEABD">
            <w:pPr>
              <w:pStyle w:val="29"/>
              <w:snapToGrid w:val="0"/>
              <w:ind w:left="107"/>
              <w:rPr>
                <w:rFonts w:hint="eastAsia" w:ascii="宋体" w:hAnsi="宋体"/>
                <w:sz w:val="21"/>
                <w:szCs w:val="21"/>
              </w:rPr>
            </w:pPr>
            <w:r>
              <w:rPr>
                <w:rFonts w:hint="eastAsia" w:ascii="宋体" w:hAnsi="宋体"/>
                <w:sz w:val="21"/>
                <w:szCs w:val="21"/>
              </w:rPr>
              <w:t>供应商其他资质评价</w:t>
            </w:r>
          </w:p>
        </w:tc>
        <w:tc>
          <w:tcPr>
            <w:tcW w:w="850" w:type="dxa"/>
            <w:noWrap w:val="0"/>
            <w:vAlign w:val="center"/>
          </w:tcPr>
          <w:p w14:paraId="585A090E">
            <w:pPr>
              <w:pStyle w:val="29"/>
              <w:snapToGrid w:val="0"/>
              <w:ind w:left="107"/>
              <w:jc w:val="center"/>
              <w:rPr>
                <w:rFonts w:ascii="宋体" w:hAnsi="宋体"/>
                <w:sz w:val="21"/>
                <w:szCs w:val="21"/>
              </w:rPr>
            </w:pPr>
            <w:r>
              <w:rPr>
                <w:rFonts w:hint="eastAsia" w:ascii="宋体" w:hAnsi="宋体"/>
                <w:sz w:val="21"/>
                <w:szCs w:val="21"/>
              </w:rPr>
              <w:t>10</w:t>
            </w:r>
            <w:r>
              <w:rPr>
                <w:rFonts w:ascii="宋体" w:hAnsi="宋体"/>
                <w:sz w:val="21"/>
                <w:szCs w:val="21"/>
              </w:rPr>
              <w:t>分</w:t>
            </w:r>
          </w:p>
        </w:tc>
        <w:tc>
          <w:tcPr>
            <w:tcW w:w="5926" w:type="dxa"/>
            <w:noWrap w:val="0"/>
            <w:vAlign w:val="center"/>
          </w:tcPr>
          <w:p w14:paraId="7E7CAFC1">
            <w:pPr>
              <w:pStyle w:val="29"/>
              <w:snapToGrid w:val="0"/>
              <w:ind w:left="106" w:right="97"/>
              <w:rPr>
                <w:rFonts w:hint="eastAsia" w:ascii="宋体" w:hAnsi="宋体"/>
                <w:sz w:val="21"/>
                <w:szCs w:val="21"/>
              </w:rPr>
            </w:pPr>
            <w:r>
              <w:rPr>
                <w:rFonts w:hint="eastAsia" w:ascii="宋体" w:hAnsi="宋体"/>
                <w:sz w:val="21"/>
                <w:szCs w:val="21"/>
              </w:rPr>
              <w:t>(1)供应商具有质量管理体系认证证书（ISO 9001）的得 1 分；</w:t>
            </w:r>
          </w:p>
          <w:p w14:paraId="14566C92">
            <w:pPr>
              <w:pStyle w:val="29"/>
              <w:snapToGrid w:val="0"/>
              <w:ind w:left="106" w:right="97"/>
              <w:rPr>
                <w:rFonts w:hint="eastAsia" w:ascii="宋体" w:hAnsi="宋体"/>
                <w:sz w:val="21"/>
                <w:szCs w:val="21"/>
              </w:rPr>
            </w:pPr>
            <w:r>
              <w:rPr>
                <w:rFonts w:hint="eastAsia" w:ascii="宋体" w:hAnsi="宋体"/>
                <w:sz w:val="21"/>
                <w:szCs w:val="21"/>
              </w:rPr>
              <w:t>(2)供应商具备有效的ISO27001信息安全管理体系认证证书，得1分；</w:t>
            </w:r>
          </w:p>
          <w:p w14:paraId="666CE1BA">
            <w:pPr>
              <w:pStyle w:val="29"/>
              <w:snapToGrid w:val="0"/>
              <w:ind w:left="106" w:right="97"/>
              <w:rPr>
                <w:rFonts w:hint="eastAsia" w:ascii="宋体" w:hAnsi="宋体"/>
                <w:sz w:val="21"/>
                <w:szCs w:val="21"/>
              </w:rPr>
            </w:pPr>
            <w:r>
              <w:rPr>
                <w:rFonts w:hint="eastAsia" w:ascii="宋体" w:hAnsi="宋体"/>
                <w:sz w:val="21"/>
                <w:szCs w:val="21"/>
              </w:rPr>
              <w:t>(3)供应商应具备与医院官网建设、运维及网站安全管理相关的自主知识产权（软件著作权证书），需提供医院场景相关的互联网多门户系统、医院互联网平台、医院网站安全检测系统、网站内容管理系统的软件著作权证书，根据以下评分标准得分：</w:t>
            </w:r>
          </w:p>
          <w:p w14:paraId="4DF4AD5C">
            <w:pPr>
              <w:pStyle w:val="29"/>
              <w:snapToGrid w:val="0"/>
              <w:ind w:left="106" w:right="97"/>
              <w:rPr>
                <w:rFonts w:hint="eastAsia" w:ascii="宋体" w:hAnsi="宋体"/>
                <w:sz w:val="21"/>
                <w:szCs w:val="21"/>
              </w:rPr>
            </w:pPr>
            <w:r>
              <w:rPr>
                <w:rFonts w:hint="eastAsia" w:ascii="宋体" w:hAnsi="宋体"/>
                <w:sz w:val="21"/>
                <w:szCs w:val="21"/>
              </w:rPr>
              <w:t>①具备上述4项软件著作权证书，得8分；</w:t>
            </w:r>
          </w:p>
          <w:p w14:paraId="49A789C3">
            <w:pPr>
              <w:pStyle w:val="29"/>
              <w:snapToGrid w:val="0"/>
              <w:ind w:left="106" w:right="97"/>
              <w:rPr>
                <w:rFonts w:hint="eastAsia" w:ascii="宋体" w:hAnsi="宋体"/>
                <w:sz w:val="21"/>
                <w:szCs w:val="21"/>
              </w:rPr>
            </w:pPr>
            <w:r>
              <w:rPr>
                <w:rFonts w:hint="eastAsia" w:ascii="宋体" w:hAnsi="宋体"/>
                <w:sz w:val="21"/>
                <w:szCs w:val="21"/>
              </w:rPr>
              <w:t>②具备上述4项中的任意2项或3项软件著作权证书，且搭配2项其他与医院官网相关软件著作权证书的，得6分；</w:t>
            </w:r>
          </w:p>
          <w:p w14:paraId="43DE75D4">
            <w:pPr>
              <w:pStyle w:val="29"/>
              <w:snapToGrid w:val="0"/>
              <w:ind w:left="106" w:right="97"/>
              <w:rPr>
                <w:rFonts w:hint="eastAsia" w:ascii="宋体" w:hAnsi="宋体"/>
                <w:sz w:val="21"/>
                <w:szCs w:val="21"/>
              </w:rPr>
            </w:pPr>
            <w:r>
              <w:rPr>
                <w:rFonts w:hint="eastAsia" w:ascii="宋体" w:hAnsi="宋体"/>
                <w:sz w:val="21"/>
                <w:szCs w:val="21"/>
              </w:rPr>
              <w:t>③未提供上述4项软件著作权证书任意一项的，每提供1项与医院官网相关软件著作权证书的得1分，最高得4分；</w:t>
            </w:r>
          </w:p>
          <w:p w14:paraId="41A2A794">
            <w:pPr>
              <w:pStyle w:val="29"/>
              <w:snapToGrid w:val="0"/>
              <w:ind w:left="106" w:right="97"/>
              <w:rPr>
                <w:rFonts w:hint="eastAsia" w:ascii="宋体" w:hAnsi="宋体"/>
                <w:sz w:val="21"/>
                <w:szCs w:val="21"/>
              </w:rPr>
            </w:pPr>
            <w:r>
              <w:rPr>
                <w:rFonts w:hint="eastAsia" w:ascii="宋体" w:hAnsi="宋体"/>
                <w:sz w:val="21"/>
                <w:szCs w:val="21"/>
              </w:rPr>
              <w:t>④未提供任何软件著作权证书证明材料的不得分。</w:t>
            </w:r>
          </w:p>
          <w:p w14:paraId="326D6C57">
            <w:pPr>
              <w:pStyle w:val="29"/>
              <w:snapToGrid w:val="0"/>
              <w:ind w:left="106" w:right="97"/>
              <w:rPr>
                <w:rFonts w:hint="eastAsia" w:ascii="宋体" w:hAnsi="宋体"/>
                <w:sz w:val="21"/>
                <w:szCs w:val="21"/>
              </w:rPr>
            </w:pPr>
            <w:r>
              <w:rPr>
                <w:rFonts w:hint="eastAsia" w:ascii="宋体" w:hAnsi="宋体"/>
                <w:sz w:val="21"/>
                <w:szCs w:val="21"/>
              </w:rPr>
              <w:t>注：所提供著作权必须为投标单位的自主知识产权，以上提供证书复印件需加盖投标供应商公章，若未按要求提供证明材料或证明材料出现专家无法凭所提供资料判断是否得分的情况，一律按照未提供证明材料处理。</w:t>
            </w:r>
          </w:p>
        </w:tc>
      </w:tr>
      <w:tr w14:paraId="59673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737" w:type="dxa"/>
            <w:vMerge w:val="continue"/>
            <w:noWrap w:val="0"/>
            <w:vAlign w:val="center"/>
          </w:tcPr>
          <w:p w14:paraId="799482FB">
            <w:pPr>
              <w:pStyle w:val="29"/>
              <w:snapToGrid w:val="0"/>
              <w:ind w:left="106"/>
              <w:rPr>
                <w:rFonts w:hint="eastAsia" w:ascii="宋体" w:hAnsi="宋体"/>
                <w:sz w:val="21"/>
                <w:szCs w:val="21"/>
              </w:rPr>
            </w:pPr>
          </w:p>
        </w:tc>
        <w:tc>
          <w:tcPr>
            <w:tcW w:w="1276" w:type="dxa"/>
            <w:noWrap w:val="0"/>
            <w:vAlign w:val="center"/>
          </w:tcPr>
          <w:p w14:paraId="530FA6E5">
            <w:pPr>
              <w:pStyle w:val="29"/>
              <w:snapToGrid w:val="0"/>
              <w:ind w:left="107"/>
              <w:rPr>
                <w:rFonts w:hint="eastAsia" w:ascii="宋体" w:hAnsi="宋体"/>
                <w:sz w:val="21"/>
                <w:szCs w:val="21"/>
              </w:rPr>
            </w:pPr>
            <w:r>
              <w:rPr>
                <w:rFonts w:hint="eastAsia" w:ascii="宋体" w:hAnsi="宋体"/>
                <w:sz w:val="21"/>
                <w:szCs w:val="21"/>
              </w:rPr>
              <w:t>对供应商服务业绩评价</w:t>
            </w:r>
          </w:p>
        </w:tc>
        <w:tc>
          <w:tcPr>
            <w:tcW w:w="850" w:type="dxa"/>
            <w:noWrap w:val="0"/>
            <w:vAlign w:val="center"/>
          </w:tcPr>
          <w:p w14:paraId="23591792">
            <w:pPr>
              <w:pStyle w:val="29"/>
              <w:snapToGrid w:val="0"/>
              <w:ind w:left="107"/>
              <w:jc w:val="center"/>
              <w:rPr>
                <w:rFonts w:ascii="宋体" w:hAnsi="宋体"/>
                <w:sz w:val="21"/>
                <w:szCs w:val="21"/>
              </w:rPr>
            </w:pPr>
            <w:r>
              <w:rPr>
                <w:rFonts w:hint="eastAsia" w:ascii="宋体" w:hAnsi="宋体"/>
                <w:sz w:val="21"/>
                <w:szCs w:val="21"/>
              </w:rPr>
              <w:t>15分</w:t>
            </w:r>
          </w:p>
        </w:tc>
        <w:tc>
          <w:tcPr>
            <w:tcW w:w="5926" w:type="dxa"/>
            <w:noWrap w:val="0"/>
            <w:vAlign w:val="center"/>
          </w:tcPr>
          <w:p w14:paraId="27DE0EFF">
            <w:pPr>
              <w:pStyle w:val="29"/>
              <w:snapToGrid w:val="0"/>
              <w:ind w:left="106" w:right="97"/>
              <w:rPr>
                <w:rFonts w:hint="eastAsia" w:ascii="宋体" w:hAnsi="宋体"/>
                <w:sz w:val="21"/>
                <w:szCs w:val="21"/>
              </w:rPr>
            </w:pPr>
            <w:r>
              <w:rPr>
                <w:rFonts w:hint="eastAsia" w:ascii="宋体" w:hAnsi="宋体"/>
                <w:sz w:val="21"/>
                <w:szCs w:val="21"/>
              </w:rPr>
              <w:t>供应商提供自2023年1月1日至本项目投标截止时间（以合同签订日期为准）的类似业绩，每提供1个有效业绩得3分，本项最多得15分。</w:t>
            </w:r>
          </w:p>
          <w:p w14:paraId="3E91C096">
            <w:pPr>
              <w:pStyle w:val="29"/>
              <w:snapToGrid w:val="0"/>
              <w:ind w:left="106" w:right="97"/>
              <w:rPr>
                <w:rFonts w:hint="eastAsia" w:ascii="宋体" w:hAnsi="宋体"/>
                <w:sz w:val="21"/>
                <w:szCs w:val="21"/>
              </w:rPr>
            </w:pPr>
            <w:r>
              <w:rPr>
                <w:rFonts w:hint="eastAsia" w:ascii="宋体" w:hAnsi="宋体"/>
                <w:sz w:val="21"/>
                <w:szCs w:val="21"/>
              </w:rPr>
              <w:t>注：</w:t>
            </w:r>
          </w:p>
          <w:p w14:paraId="7698A1E0">
            <w:pPr>
              <w:pStyle w:val="29"/>
              <w:snapToGrid w:val="0"/>
              <w:ind w:left="106" w:right="97"/>
              <w:rPr>
                <w:rFonts w:hint="eastAsia" w:ascii="宋体" w:hAnsi="宋体"/>
                <w:sz w:val="21"/>
                <w:szCs w:val="21"/>
              </w:rPr>
            </w:pPr>
            <w:r>
              <w:rPr>
                <w:rFonts w:hint="eastAsia" w:ascii="宋体" w:hAnsi="宋体"/>
                <w:sz w:val="21"/>
                <w:szCs w:val="21"/>
              </w:rPr>
              <w:t>（1）供应商应提供合同关键页（合同内容包含但不限于：签订合同双方的单位名称、合同项目名称、服务期限、含签订合同双方的落款盖章、签订日期的关键页）（一年一签的长期服务续签合同只计算一个业绩）作为证明材料，证明材料须加盖投标供应商公章。若未按要求提供证明材料或证明材料出现专家无法凭所提供资料判断是否得分的情况，一律作不得分处理。</w:t>
            </w:r>
          </w:p>
          <w:p w14:paraId="6E4C51F9">
            <w:pPr>
              <w:pStyle w:val="29"/>
              <w:snapToGrid w:val="0"/>
              <w:ind w:left="106" w:right="97"/>
              <w:rPr>
                <w:rFonts w:hint="eastAsia" w:ascii="宋体" w:hAnsi="宋体"/>
                <w:sz w:val="21"/>
                <w:szCs w:val="21"/>
              </w:rPr>
            </w:pPr>
            <w:r>
              <w:rPr>
                <w:rFonts w:hint="eastAsia" w:ascii="宋体" w:hAnsi="宋体"/>
                <w:sz w:val="21"/>
                <w:szCs w:val="21"/>
              </w:rPr>
              <w:t>（2）本项目认可的 “类似服务业绩”，指所提供的业绩合同需能体现供应商承担该网站运行所依赖的基础设施环境（包括但不限于服务器、存储、网络、云安全产品/安全服务等）的采购配置、日常运维、监控、故障应急响应、安全维护等至少2项服务内容。）</w:t>
            </w:r>
          </w:p>
        </w:tc>
      </w:tr>
      <w:tr w14:paraId="273A9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737" w:type="dxa"/>
            <w:vMerge w:val="restart"/>
            <w:noWrap w:val="0"/>
            <w:vAlign w:val="center"/>
          </w:tcPr>
          <w:p w14:paraId="6F56F605">
            <w:pPr>
              <w:pStyle w:val="29"/>
              <w:snapToGrid w:val="0"/>
              <w:ind w:left="106"/>
              <w:rPr>
                <w:rFonts w:hint="eastAsia" w:ascii="宋体" w:hAnsi="宋体"/>
                <w:sz w:val="21"/>
                <w:szCs w:val="21"/>
              </w:rPr>
            </w:pPr>
            <w:r>
              <w:rPr>
                <w:rFonts w:hint="eastAsia" w:ascii="宋体" w:hAnsi="宋体"/>
                <w:sz w:val="21"/>
                <w:szCs w:val="21"/>
              </w:rPr>
              <w:t>技术部分</w:t>
            </w:r>
          </w:p>
        </w:tc>
        <w:tc>
          <w:tcPr>
            <w:tcW w:w="1276" w:type="dxa"/>
            <w:noWrap w:val="0"/>
            <w:vAlign w:val="center"/>
          </w:tcPr>
          <w:p w14:paraId="254BB815">
            <w:pPr>
              <w:pStyle w:val="29"/>
              <w:snapToGrid w:val="0"/>
              <w:ind w:left="107"/>
              <w:rPr>
                <w:rFonts w:ascii="宋体" w:hAnsi="宋体"/>
                <w:sz w:val="21"/>
                <w:szCs w:val="21"/>
              </w:rPr>
            </w:pPr>
            <w:r>
              <w:rPr>
                <w:rFonts w:hint="eastAsia" w:ascii="宋体" w:hAnsi="宋体"/>
                <w:sz w:val="21"/>
                <w:szCs w:val="21"/>
              </w:rPr>
              <w:t>对重点采购需求的响应评价</w:t>
            </w:r>
          </w:p>
        </w:tc>
        <w:tc>
          <w:tcPr>
            <w:tcW w:w="850" w:type="dxa"/>
            <w:noWrap w:val="0"/>
            <w:vAlign w:val="center"/>
          </w:tcPr>
          <w:p w14:paraId="7591D175">
            <w:pPr>
              <w:pStyle w:val="29"/>
              <w:snapToGrid w:val="0"/>
              <w:ind w:left="107"/>
              <w:jc w:val="center"/>
              <w:rPr>
                <w:rFonts w:hint="eastAsia" w:ascii="宋体" w:hAnsi="宋体"/>
                <w:sz w:val="21"/>
                <w:szCs w:val="21"/>
              </w:rPr>
            </w:pPr>
            <w:r>
              <w:rPr>
                <w:rFonts w:hint="eastAsia"/>
                <w:sz w:val="21"/>
                <w:szCs w:val="21"/>
                <w:lang w:val="en-US" w:eastAsia="zh-CN"/>
              </w:rPr>
              <w:t>30</w:t>
            </w:r>
            <w:r>
              <w:rPr>
                <w:rFonts w:hint="eastAsia" w:ascii="宋体" w:hAnsi="宋体"/>
                <w:sz w:val="21"/>
                <w:szCs w:val="21"/>
              </w:rPr>
              <w:t>分</w:t>
            </w:r>
          </w:p>
        </w:tc>
        <w:tc>
          <w:tcPr>
            <w:tcW w:w="5926" w:type="dxa"/>
            <w:noWrap w:val="0"/>
            <w:vAlign w:val="center"/>
          </w:tcPr>
          <w:p w14:paraId="7B339192">
            <w:pPr>
              <w:pStyle w:val="29"/>
              <w:snapToGrid w:val="0"/>
              <w:ind w:left="106" w:right="97"/>
              <w:rPr>
                <w:rFonts w:hint="eastAsia" w:ascii="宋体" w:hAnsi="宋体"/>
                <w:sz w:val="21"/>
                <w:szCs w:val="21"/>
              </w:rPr>
            </w:pPr>
            <w:r>
              <w:rPr>
                <w:rFonts w:hint="eastAsia" w:ascii="宋体" w:hAnsi="宋体"/>
                <w:sz w:val="21"/>
                <w:szCs w:val="21"/>
              </w:rPr>
              <w:t>供应商须对七、安全产品技术参数要求情况逐一应答，全部满足得</w:t>
            </w:r>
            <w:r>
              <w:rPr>
                <w:rFonts w:hint="eastAsia"/>
                <w:sz w:val="21"/>
                <w:szCs w:val="21"/>
                <w:lang w:val="en-US" w:eastAsia="zh-CN"/>
              </w:rPr>
              <w:t>30</w:t>
            </w:r>
            <w:r>
              <w:rPr>
                <w:rFonts w:hint="eastAsia" w:ascii="宋体" w:hAnsi="宋体"/>
                <w:sz w:val="21"/>
                <w:szCs w:val="21"/>
              </w:rPr>
              <w:t>分，每有一项“▲”号条款不满足扣</w:t>
            </w:r>
            <w:r>
              <w:rPr>
                <w:rFonts w:hint="eastAsia"/>
                <w:sz w:val="21"/>
                <w:szCs w:val="21"/>
                <w:lang w:val="en-US" w:eastAsia="zh-CN"/>
              </w:rPr>
              <w:t>2</w:t>
            </w:r>
            <w:r>
              <w:rPr>
                <w:rFonts w:hint="eastAsia" w:ascii="宋体" w:hAnsi="宋体"/>
                <w:sz w:val="21"/>
                <w:szCs w:val="21"/>
              </w:rPr>
              <w:t>分，每有一项普通条款不满足扣</w:t>
            </w:r>
            <w:r>
              <w:rPr>
                <w:rFonts w:hint="eastAsia"/>
                <w:sz w:val="21"/>
                <w:szCs w:val="21"/>
                <w:lang w:val="en-US" w:eastAsia="zh-CN"/>
              </w:rPr>
              <w:t>1</w:t>
            </w:r>
            <w:r>
              <w:rPr>
                <w:rFonts w:hint="eastAsia" w:ascii="宋体" w:hAnsi="宋体"/>
                <w:sz w:val="21"/>
                <w:szCs w:val="21"/>
              </w:rPr>
              <w:t>分，最低得0分。</w:t>
            </w:r>
          </w:p>
          <w:p w14:paraId="530E1122">
            <w:pPr>
              <w:pStyle w:val="29"/>
              <w:snapToGrid w:val="0"/>
              <w:ind w:left="106" w:right="97"/>
              <w:rPr>
                <w:rFonts w:hint="default" w:ascii="宋体" w:hAnsi="宋体" w:eastAsia="宋体"/>
                <w:sz w:val="21"/>
                <w:szCs w:val="21"/>
                <w:lang w:val="en-US" w:eastAsia="zh-CN"/>
              </w:rPr>
            </w:pPr>
            <w:r>
              <w:rPr>
                <w:rFonts w:hint="eastAsia" w:ascii="宋体" w:hAnsi="宋体"/>
                <w:sz w:val="21"/>
                <w:szCs w:val="21"/>
              </w:rPr>
              <w:t>“▲”号条款</w:t>
            </w:r>
            <w:r>
              <w:rPr>
                <w:rFonts w:hint="eastAsia"/>
                <w:sz w:val="21"/>
                <w:szCs w:val="21"/>
                <w:lang w:val="en-US" w:eastAsia="zh-CN"/>
              </w:rPr>
              <w:t>需提供相应的证明材料（如截图或承诺函）</w:t>
            </w:r>
          </w:p>
        </w:tc>
      </w:tr>
      <w:tr w14:paraId="5EB94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37" w:type="dxa"/>
            <w:vMerge w:val="continue"/>
            <w:noWrap w:val="0"/>
            <w:vAlign w:val="center"/>
          </w:tcPr>
          <w:p w14:paraId="4EA55CDA">
            <w:pPr>
              <w:pStyle w:val="29"/>
              <w:snapToGrid w:val="0"/>
              <w:ind w:left="107" w:right="96"/>
              <w:rPr>
                <w:rFonts w:ascii="宋体" w:hAnsi="宋体"/>
                <w:sz w:val="21"/>
                <w:szCs w:val="21"/>
              </w:rPr>
            </w:pPr>
          </w:p>
        </w:tc>
        <w:tc>
          <w:tcPr>
            <w:tcW w:w="1276" w:type="dxa"/>
            <w:noWrap w:val="0"/>
            <w:vAlign w:val="center"/>
          </w:tcPr>
          <w:p w14:paraId="123FEAB7">
            <w:pPr>
              <w:pStyle w:val="29"/>
              <w:snapToGrid w:val="0"/>
              <w:ind w:left="107"/>
              <w:rPr>
                <w:rFonts w:ascii="宋体" w:hAnsi="宋体"/>
                <w:sz w:val="21"/>
                <w:szCs w:val="21"/>
              </w:rPr>
            </w:pPr>
            <w:r>
              <w:rPr>
                <w:rFonts w:hint="eastAsia" w:ascii="宋体" w:hAnsi="宋体"/>
                <w:sz w:val="21"/>
                <w:szCs w:val="21"/>
              </w:rPr>
              <w:t>项目整体技术、服务方案</w:t>
            </w:r>
          </w:p>
        </w:tc>
        <w:tc>
          <w:tcPr>
            <w:tcW w:w="850" w:type="dxa"/>
            <w:noWrap w:val="0"/>
            <w:vAlign w:val="center"/>
          </w:tcPr>
          <w:p w14:paraId="0DEA73AC">
            <w:pPr>
              <w:pStyle w:val="29"/>
              <w:snapToGrid w:val="0"/>
              <w:ind w:left="107"/>
              <w:jc w:val="center"/>
              <w:rPr>
                <w:rFonts w:hint="eastAsia" w:ascii="宋体" w:hAnsi="宋体"/>
                <w:sz w:val="21"/>
                <w:szCs w:val="21"/>
              </w:rPr>
            </w:pPr>
            <w:r>
              <w:rPr>
                <w:rFonts w:hint="eastAsia" w:ascii="宋体" w:hAnsi="宋体"/>
                <w:sz w:val="21"/>
                <w:szCs w:val="21"/>
              </w:rPr>
              <w:t>25分</w:t>
            </w:r>
          </w:p>
        </w:tc>
        <w:tc>
          <w:tcPr>
            <w:tcW w:w="5926" w:type="dxa"/>
            <w:noWrap w:val="0"/>
            <w:vAlign w:val="center"/>
          </w:tcPr>
          <w:p w14:paraId="18A5CCDA">
            <w:pPr>
              <w:pStyle w:val="29"/>
              <w:snapToGrid w:val="0"/>
              <w:ind w:left="106" w:right="97"/>
              <w:rPr>
                <w:rFonts w:hint="eastAsia" w:ascii="宋体" w:hAnsi="宋体"/>
                <w:sz w:val="21"/>
                <w:szCs w:val="21"/>
              </w:rPr>
            </w:pPr>
            <w:r>
              <w:rPr>
                <w:rFonts w:hint="eastAsia" w:ascii="宋体" w:hAnsi="宋体"/>
                <w:sz w:val="21"/>
                <w:szCs w:val="21"/>
              </w:rPr>
              <w:t>根据供应商提供的项目整体技术、服务方案（包括但不限于人工安全技术运维、网站运维等内容）进行评审：</w:t>
            </w:r>
          </w:p>
          <w:p w14:paraId="6756DFAB">
            <w:pPr>
              <w:pStyle w:val="29"/>
              <w:snapToGrid w:val="0"/>
              <w:ind w:left="106" w:right="97"/>
              <w:rPr>
                <w:rFonts w:hint="eastAsia" w:ascii="宋体" w:hAnsi="宋体"/>
                <w:sz w:val="21"/>
                <w:szCs w:val="21"/>
              </w:rPr>
            </w:pPr>
            <w:r>
              <w:rPr>
                <w:rFonts w:hint="eastAsia" w:ascii="宋体" w:hAnsi="宋体"/>
                <w:sz w:val="21"/>
                <w:szCs w:val="21"/>
              </w:rPr>
              <w:t>方案完整详尽，充分结合项目特点，完全满足项目需求，得25分；</w:t>
            </w:r>
            <w:bookmarkStart w:id="33" w:name="_GoBack"/>
            <w:bookmarkEnd w:id="33"/>
          </w:p>
          <w:p w14:paraId="44BFF65B">
            <w:pPr>
              <w:pStyle w:val="29"/>
              <w:snapToGrid w:val="0"/>
              <w:ind w:left="106" w:right="97"/>
              <w:rPr>
                <w:rFonts w:hint="eastAsia" w:ascii="宋体" w:hAnsi="宋体"/>
                <w:sz w:val="21"/>
                <w:szCs w:val="21"/>
              </w:rPr>
            </w:pPr>
            <w:r>
              <w:rPr>
                <w:rFonts w:hint="eastAsia" w:ascii="宋体" w:hAnsi="宋体"/>
                <w:sz w:val="21"/>
                <w:szCs w:val="21"/>
              </w:rPr>
              <w:t>方案较详尽，较符合项目特点，基本满足项目需求，得20分；</w:t>
            </w:r>
          </w:p>
          <w:p w14:paraId="4470876D">
            <w:pPr>
              <w:pStyle w:val="29"/>
              <w:snapToGrid w:val="0"/>
              <w:ind w:left="106" w:right="97"/>
              <w:rPr>
                <w:rFonts w:hint="eastAsia" w:ascii="宋体" w:hAnsi="宋体"/>
                <w:sz w:val="21"/>
                <w:szCs w:val="21"/>
              </w:rPr>
            </w:pPr>
            <w:r>
              <w:rPr>
                <w:rFonts w:hint="eastAsia" w:ascii="宋体" w:hAnsi="宋体"/>
                <w:sz w:val="21"/>
                <w:szCs w:val="21"/>
              </w:rPr>
              <w:t>提供了常规、通用的方案，得15分；</w:t>
            </w:r>
          </w:p>
          <w:p w14:paraId="61468646">
            <w:pPr>
              <w:pStyle w:val="29"/>
              <w:snapToGrid w:val="0"/>
              <w:ind w:left="106" w:right="97"/>
              <w:rPr>
                <w:rFonts w:hint="eastAsia" w:ascii="宋体" w:hAnsi="宋体"/>
                <w:sz w:val="21"/>
                <w:szCs w:val="21"/>
              </w:rPr>
            </w:pPr>
            <w:r>
              <w:rPr>
                <w:rFonts w:hint="eastAsia" w:ascii="宋体" w:hAnsi="宋体"/>
                <w:sz w:val="21"/>
                <w:szCs w:val="21"/>
              </w:rPr>
              <w:t>方案有部分欠缺，缺乏执行性、可行性，得10分；</w:t>
            </w:r>
          </w:p>
          <w:p w14:paraId="044BC5D1">
            <w:pPr>
              <w:pStyle w:val="29"/>
              <w:snapToGrid w:val="0"/>
              <w:ind w:left="106" w:right="97"/>
              <w:rPr>
                <w:rFonts w:hint="eastAsia" w:ascii="宋体" w:hAnsi="宋体"/>
                <w:sz w:val="21"/>
                <w:szCs w:val="21"/>
              </w:rPr>
            </w:pPr>
            <w:r>
              <w:rPr>
                <w:rFonts w:hint="eastAsia" w:ascii="宋体" w:hAnsi="宋体"/>
                <w:sz w:val="21"/>
                <w:szCs w:val="21"/>
              </w:rPr>
              <w:t>方案不合理，无可执行性，不能满足项目实际需求，得5分；</w:t>
            </w:r>
          </w:p>
          <w:p w14:paraId="68A43947">
            <w:pPr>
              <w:pStyle w:val="29"/>
              <w:snapToGrid w:val="0"/>
              <w:ind w:left="106" w:right="97"/>
              <w:rPr>
                <w:rFonts w:hint="eastAsia" w:ascii="宋体" w:hAnsi="宋体"/>
                <w:sz w:val="21"/>
                <w:szCs w:val="21"/>
              </w:rPr>
            </w:pPr>
            <w:r>
              <w:rPr>
                <w:rFonts w:hint="eastAsia" w:ascii="宋体" w:hAnsi="宋体"/>
                <w:sz w:val="21"/>
                <w:szCs w:val="21"/>
              </w:rPr>
              <w:t>未提供不得分。</w:t>
            </w:r>
          </w:p>
        </w:tc>
      </w:tr>
      <w:tr w14:paraId="3AAE5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37" w:type="dxa"/>
            <w:vMerge w:val="continue"/>
            <w:noWrap w:val="0"/>
            <w:vAlign w:val="center"/>
          </w:tcPr>
          <w:p w14:paraId="06D646EF">
            <w:pPr>
              <w:pStyle w:val="29"/>
              <w:snapToGrid w:val="0"/>
              <w:ind w:left="107" w:right="96"/>
              <w:rPr>
                <w:rFonts w:ascii="宋体" w:hAnsi="宋体"/>
                <w:spacing w:val="-28"/>
                <w:sz w:val="21"/>
                <w:szCs w:val="21"/>
              </w:rPr>
            </w:pPr>
          </w:p>
        </w:tc>
        <w:tc>
          <w:tcPr>
            <w:tcW w:w="1276" w:type="dxa"/>
            <w:noWrap w:val="0"/>
            <w:vAlign w:val="center"/>
          </w:tcPr>
          <w:p w14:paraId="47C468BC">
            <w:pPr>
              <w:pStyle w:val="29"/>
              <w:snapToGrid w:val="0"/>
              <w:ind w:left="107"/>
              <w:rPr>
                <w:rFonts w:ascii="宋体" w:hAnsi="宋体"/>
                <w:sz w:val="21"/>
                <w:szCs w:val="21"/>
              </w:rPr>
            </w:pPr>
            <w:r>
              <w:rPr>
                <w:rFonts w:hint="eastAsia" w:ascii="宋体" w:hAnsi="宋体"/>
                <w:sz w:val="21"/>
                <w:szCs w:val="21"/>
              </w:rPr>
              <w:t>服务团队能力</w:t>
            </w:r>
          </w:p>
        </w:tc>
        <w:tc>
          <w:tcPr>
            <w:tcW w:w="850" w:type="dxa"/>
            <w:noWrap w:val="0"/>
            <w:vAlign w:val="center"/>
          </w:tcPr>
          <w:p w14:paraId="6FFCCAF1">
            <w:pPr>
              <w:pStyle w:val="29"/>
              <w:snapToGrid w:val="0"/>
              <w:ind w:left="107" w:right="96"/>
              <w:jc w:val="center"/>
              <w:rPr>
                <w:rFonts w:ascii="宋体" w:hAnsi="宋体"/>
                <w:sz w:val="21"/>
                <w:szCs w:val="21"/>
              </w:rPr>
            </w:pPr>
            <w:r>
              <w:rPr>
                <w:rFonts w:hint="eastAsia" w:ascii="宋体" w:hAnsi="宋体"/>
                <w:sz w:val="21"/>
                <w:szCs w:val="21"/>
              </w:rPr>
              <w:t>10分</w:t>
            </w:r>
          </w:p>
        </w:tc>
        <w:tc>
          <w:tcPr>
            <w:tcW w:w="5926" w:type="dxa"/>
            <w:noWrap w:val="0"/>
            <w:vAlign w:val="center"/>
          </w:tcPr>
          <w:p w14:paraId="63995D08">
            <w:pPr>
              <w:pStyle w:val="29"/>
              <w:snapToGrid w:val="0"/>
              <w:ind w:left="106" w:right="97"/>
              <w:rPr>
                <w:rFonts w:ascii="宋体" w:hAnsi="宋体"/>
                <w:sz w:val="21"/>
                <w:szCs w:val="21"/>
              </w:rPr>
            </w:pPr>
            <w:r>
              <w:rPr>
                <w:rFonts w:hint="eastAsia" w:ascii="宋体" w:hAnsi="宋体"/>
                <w:sz w:val="21"/>
                <w:szCs w:val="21"/>
              </w:rPr>
              <w:t>1.拟派项目总负责人的经验丰富、沟通能力强、稳定。</w:t>
            </w:r>
          </w:p>
          <w:p w14:paraId="305CE7CA">
            <w:pPr>
              <w:pStyle w:val="29"/>
              <w:snapToGrid w:val="0"/>
              <w:ind w:left="106" w:right="97"/>
              <w:rPr>
                <w:rFonts w:hint="eastAsia" w:ascii="宋体" w:hAnsi="宋体"/>
                <w:sz w:val="21"/>
                <w:szCs w:val="21"/>
              </w:rPr>
            </w:pPr>
            <w:r>
              <w:rPr>
                <w:rFonts w:hint="eastAsia" w:ascii="宋体" w:hAnsi="宋体"/>
                <w:sz w:val="21"/>
                <w:szCs w:val="21"/>
              </w:rPr>
              <w:t>具有项目管理专业人员（PMP）证书且工作资格年限10年及以上的，得5分；相应年限5年及以上但不满10年的，得2分；相应年限不满5年的，得0分。</w:t>
            </w:r>
          </w:p>
          <w:p w14:paraId="609E173B">
            <w:pPr>
              <w:pStyle w:val="29"/>
              <w:snapToGrid w:val="0"/>
              <w:ind w:left="106" w:right="97"/>
              <w:rPr>
                <w:rFonts w:ascii="宋体" w:hAnsi="宋体"/>
                <w:sz w:val="21"/>
                <w:szCs w:val="21"/>
              </w:rPr>
            </w:pPr>
            <w:r>
              <w:rPr>
                <w:rFonts w:hint="eastAsia" w:ascii="宋体" w:hAnsi="宋体"/>
                <w:sz w:val="21"/>
                <w:szCs w:val="21"/>
              </w:rPr>
              <w:t>注：须提供相关人员的简历表和近半年任意一个月社保证明复印件加盖公章，否则不予认可。</w:t>
            </w:r>
          </w:p>
          <w:p w14:paraId="6FA78B81">
            <w:pPr>
              <w:pStyle w:val="29"/>
              <w:snapToGrid w:val="0"/>
              <w:ind w:left="106" w:right="97"/>
              <w:rPr>
                <w:rFonts w:ascii="宋体" w:hAnsi="宋体"/>
                <w:sz w:val="21"/>
                <w:szCs w:val="21"/>
              </w:rPr>
            </w:pPr>
            <w:r>
              <w:rPr>
                <w:rFonts w:hint="eastAsia" w:ascii="宋体" w:hAnsi="宋体"/>
                <w:sz w:val="21"/>
                <w:szCs w:val="21"/>
              </w:rPr>
              <w:t>2.项目团队人员：除项目总负责人以外的其余项目团队成员。</w:t>
            </w:r>
          </w:p>
          <w:p w14:paraId="25E574A2">
            <w:pPr>
              <w:pStyle w:val="29"/>
              <w:snapToGrid w:val="0"/>
              <w:ind w:left="106" w:right="97"/>
              <w:rPr>
                <w:rFonts w:hint="eastAsia" w:ascii="宋体" w:hAnsi="宋体"/>
                <w:sz w:val="21"/>
                <w:szCs w:val="21"/>
              </w:rPr>
            </w:pPr>
            <w:r>
              <w:rPr>
                <w:rFonts w:hint="eastAsia" w:ascii="宋体" w:hAnsi="宋体"/>
                <w:sz w:val="21"/>
                <w:szCs w:val="21"/>
              </w:rPr>
              <w:t>（1）具有系统集成项目管理工程师人数1人，得2分；否则得0分。</w:t>
            </w:r>
          </w:p>
          <w:p w14:paraId="05EF9F1F">
            <w:pPr>
              <w:pStyle w:val="29"/>
              <w:snapToGrid w:val="0"/>
              <w:ind w:left="106" w:right="97"/>
              <w:rPr>
                <w:rFonts w:hint="eastAsia" w:ascii="宋体" w:hAnsi="宋体"/>
                <w:sz w:val="21"/>
                <w:szCs w:val="21"/>
              </w:rPr>
            </w:pPr>
            <w:r>
              <w:rPr>
                <w:rFonts w:hint="eastAsia" w:ascii="宋体" w:hAnsi="宋体"/>
                <w:sz w:val="21"/>
                <w:szCs w:val="21"/>
              </w:rPr>
              <w:t>（2）具有信息安全工程师（中级）1人，得2分，否则得0分；</w:t>
            </w:r>
          </w:p>
          <w:p w14:paraId="50712864">
            <w:pPr>
              <w:pStyle w:val="29"/>
              <w:snapToGrid w:val="0"/>
              <w:ind w:left="106" w:right="97"/>
              <w:rPr>
                <w:rFonts w:ascii="宋体" w:hAnsi="宋体"/>
                <w:sz w:val="21"/>
                <w:szCs w:val="21"/>
              </w:rPr>
            </w:pPr>
            <w:r>
              <w:rPr>
                <w:rFonts w:hint="eastAsia" w:ascii="宋体" w:hAnsi="宋体"/>
                <w:sz w:val="21"/>
                <w:szCs w:val="21"/>
              </w:rPr>
              <w:t>（3）具有软件工程师人数1人，得1分；否则得0分。</w:t>
            </w:r>
          </w:p>
          <w:p w14:paraId="6BF7013C">
            <w:pPr>
              <w:pStyle w:val="29"/>
              <w:snapToGrid w:val="0"/>
              <w:ind w:left="106" w:right="97"/>
              <w:rPr>
                <w:rFonts w:ascii="宋体" w:hAnsi="宋体"/>
                <w:sz w:val="21"/>
                <w:szCs w:val="21"/>
              </w:rPr>
            </w:pPr>
            <w:r>
              <w:rPr>
                <w:rFonts w:hint="eastAsia" w:ascii="宋体" w:hAnsi="宋体"/>
                <w:sz w:val="21"/>
                <w:szCs w:val="21"/>
              </w:rPr>
              <w:t>注：团队人员资质不可重复计分上述资质需提供人员简历、有效资质证书复印件、投标前6个月内的任意1个月的社保证明复印件并加盖公章，否则不予认可。</w:t>
            </w:r>
          </w:p>
        </w:tc>
      </w:tr>
    </w:tbl>
    <w:p w14:paraId="73C662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66B0C"/>
    <w:multiLevelType w:val="multilevel"/>
    <w:tmpl w:val="00C66B0C"/>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502D9E"/>
    <w:multiLevelType w:val="multilevel"/>
    <w:tmpl w:val="1A502D9E"/>
    <w:lvl w:ilvl="0" w:tentative="0">
      <w:start w:val="1"/>
      <w:numFmt w:val="decimal"/>
      <w:lvlText w:val="（%1）"/>
      <w:lvlJc w:val="left"/>
      <w:pPr>
        <w:ind w:left="1230" w:hanging="720"/>
      </w:pPr>
      <w:rPr>
        <w:rFonts w:hint="default" w:hAnsi="宋体"/>
        <w:color w:val="000000"/>
        <w:lang w:val="en-US"/>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2">
    <w:nsid w:val="20E078E8"/>
    <w:multiLevelType w:val="multilevel"/>
    <w:tmpl w:val="20E078E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5E95E10"/>
    <w:multiLevelType w:val="multilevel"/>
    <w:tmpl w:val="35E95E1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CEB3508"/>
    <w:multiLevelType w:val="multilevel"/>
    <w:tmpl w:val="3CEB3508"/>
    <w:lvl w:ilvl="0" w:tentative="0">
      <w:start w:val="1"/>
      <w:numFmt w:val="decimal"/>
      <w:lvlText w:val="%1)"/>
      <w:lvlJc w:val="left"/>
      <w:pPr>
        <w:ind w:left="425" w:hanging="4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9502A8"/>
    <w:multiLevelType w:val="multilevel"/>
    <w:tmpl w:val="599502A8"/>
    <w:lvl w:ilvl="0" w:tentative="0">
      <w:start w:val="1"/>
      <w:numFmt w:val="bullet"/>
      <w:lvlText w:val=""/>
      <w:lvlJc w:val="left"/>
      <w:pPr>
        <w:ind w:left="1412" w:hanging="420"/>
      </w:pPr>
      <w:rPr>
        <w:rFonts w:hint="default" w:ascii="Wingdings" w:hAnsi="Wingdings"/>
        <w:sz w:val="24"/>
      </w:rPr>
    </w:lvl>
    <w:lvl w:ilvl="1" w:tentative="0">
      <w:start w:val="1"/>
      <w:numFmt w:val="bullet"/>
      <w:lvlText w:val=""/>
      <w:lvlJc w:val="left"/>
      <w:pPr>
        <w:ind w:left="2070" w:hanging="420"/>
      </w:pPr>
      <w:rPr>
        <w:rFonts w:hint="default" w:ascii="Wingdings" w:hAnsi="Wingdings"/>
      </w:rPr>
    </w:lvl>
    <w:lvl w:ilvl="2" w:tentative="0">
      <w:start w:val="1"/>
      <w:numFmt w:val="bullet"/>
      <w:lvlText w:val=""/>
      <w:lvlJc w:val="left"/>
      <w:pPr>
        <w:ind w:left="2490" w:hanging="420"/>
      </w:pPr>
      <w:rPr>
        <w:rFonts w:hint="default" w:ascii="Wingdings" w:hAnsi="Wingdings"/>
      </w:rPr>
    </w:lvl>
    <w:lvl w:ilvl="3" w:tentative="0">
      <w:start w:val="1"/>
      <w:numFmt w:val="bullet"/>
      <w:lvlText w:val=""/>
      <w:lvlJc w:val="left"/>
      <w:pPr>
        <w:ind w:left="2910" w:hanging="420"/>
      </w:pPr>
      <w:rPr>
        <w:rFonts w:hint="default" w:ascii="Wingdings" w:hAnsi="Wingdings"/>
      </w:rPr>
    </w:lvl>
    <w:lvl w:ilvl="4" w:tentative="0">
      <w:start w:val="1"/>
      <w:numFmt w:val="bullet"/>
      <w:lvlText w:val=""/>
      <w:lvlJc w:val="left"/>
      <w:pPr>
        <w:ind w:left="3330" w:hanging="420"/>
      </w:pPr>
      <w:rPr>
        <w:rFonts w:hint="default" w:ascii="Wingdings" w:hAnsi="Wingdings"/>
      </w:rPr>
    </w:lvl>
    <w:lvl w:ilvl="5" w:tentative="0">
      <w:start w:val="1"/>
      <w:numFmt w:val="bullet"/>
      <w:lvlText w:val=""/>
      <w:lvlJc w:val="left"/>
      <w:pPr>
        <w:ind w:left="3750" w:hanging="420"/>
      </w:pPr>
      <w:rPr>
        <w:rFonts w:hint="default" w:ascii="Wingdings" w:hAnsi="Wingdings"/>
      </w:rPr>
    </w:lvl>
    <w:lvl w:ilvl="6" w:tentative="0">
      <w:start w:val="1"/>
      <w:numFmt w:val="bullet"/>
      <w:lvlText w:val=""/>
      <w:lvlJc w:val="left"/>
      <w:pPr>
        <w:ind w:left="4170" w:hanging="420"/>
      </w:pPr>
      <w:rPr>
        <w:rFonts w:hint="default" w:ascii="Wingdings" w:hAnsi="Wingdings"/>
      </w:rPr>
    </w:lvl>
    <w:lvl w:ilvl="7" w:tentative="0">
      <w:start w:val="1"/>
      <w:numFmt w:val="bullet"/>
      <w:lvlText w:val=""/>
      <w:lvlJc w:val="left"/>
      <w:pPr>
        <w:ind w:left="4590" w:hanging="420"/>
      </w:pPr>
      <w:rPr>
        <w:rFonts w:hint="default" w:ascii="Wingdings" w:hAnsi="Wingdings"/>
      </w:rPr>
    </w:lvl>
    <w:lvl w:ilvl="8" w:tentative="0">
      <w:start w:val="1"/>
      <w:numFmt w:val="bullet"/>
      <w:lvlText w:val=""/>
      <w:lvlJc w:val="left"/>
      <w:pPr>
        <w:ind w:left="5010" w:hanging="420"/>
      </w:pPr>
      <w:rPr>
        <w:rFonts w:hint="default" w:ascii="Wingdings" w:hAnsi="Wingdings"/>
      </w:rPr>
    </w:lvl>
  </w:abstractNum>
  <w:abstractNum w:abstractNumId="6">
    <w:nsid w:val="6EC67098"/>
    <w:multiLevelType w:val="multilevel"/>
    <w:tmpl w:val="6EC6709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27E278D"/>
    <w:multiLevelType w:val="multilevel"/>
    <w:tmpl w:val="727E278D"/>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32C3DDC"/>
    <w:multiLevelType w:val="multilevel"/>
    <w:tmpl w:val="732C3DD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4"/>
  </w:num>
  <w:num w:numId="4">
    <w:abstractNumId w:val="8"/>
  </w:num>
  <w:num w:numId="5">
    <w:abstractNumId w:val="7"/>
  </w:num>
  <w:num w:numId="6">
    <w:abstractNumId w:val="0"/>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5E"/>
    <w:rsid w:val="00020913"/>
    <w:rsid w:val="000534C3"/>
    <w:rsid w:val="000B3C83"/>
    <w:rsid w:val="00106C02"/>
    <w:rsid w:val="00116820"/>
    <w:rsid w:val="00130B5E"/>
    <w:rsid w:val="00173962"/>
    <w:rsid w:val="001B4BED"/>
    <w:rsid w:val="00204ADB"/>
    <w:rsid w:val="002E32B9"/>
    <w:rsid w:val="002E47A4"/>
    <w:rsid w:val="002F30FF"/>
    <w:rsid w:val="0032531B"/>
    <w:rsid w:val="00362426"/>
    <w:rsid w:val="00380D78"/>
    <w:rsid w:val="00381EB4"/>
    <w:rsid w:val="003E1F9A"/>
    <w:rsid w:val="0040200A"/>
    <w:rsid w:val="0045605A"/>
    <w:rsid w:val="0046045D"/>
    <w:rsid w:val="00464CBE"/>
    <w:rsid w:val="00501325"/>
    <w:rsid w:val="00530750"/>
    <w:rsid w:val="005A4E99"/>
    <w:rsid w:val="006656A4"/>
    <w:rsid w:val="006C5B41"/>
    <w:rsid w:val="006D4D9C"/>
    <w:rsid w:val="00773F72"/>
    <w:rsid w:val="007C6F12"/>
    <w:rsid w:val="007F564C"/>
    <w:rsid w:val="00885D38"/>
    <w:rsid w:val="008E200D"/>
    <w:rsid w:val="008E76AD"/>
    <w:rsid w:val="00A37679"/>
    <w:rsid w:val="00A37E70"/>
    <w:rsid w:val="00A45AE3"/>
    <w:rsid w:val="00AF3F42"/>
    <w:rsid w:val="00B94E8F"/>
    <w:rsid w:val="00BE172E"/>
    <w:rsid w:val="00C70E45"/>
    <w:rsid w:val="00C768EE"/>
    <w:rsid w:val="00CC1001"/>
    <w:rsid w:val="00CD68E6"/>
    <w:rsid w:val="00D43146"/>
    <w:rsid w:val="00D453EC"/>
    <w:rsid w:val="00D9764C"/>
    <w:rsid w:val="00DD2CEC"/>
    <w:rsid w:val="00E03B7D"/>
    <w:rsid w:val="00E65E9A"/>
    <w:rsid w:val="00E902FC"/>
    <w:rsid w:val="00E91592"/>
    <w:rsid w:val="00ED2D77"/>
    <w:rsid w:val="00EE6CA2"/>
    <w:rsid w:val="00EF6FD3"/>
    <w:rsid w:val="00FA4AEF"/>
    <w:rsid w:val="00FC2610"/>
    <w:rsid w:val="012F7671"/>
    <w:rsid w:val="51242C89"/>
    <w:rsid w:val="56D962B6"/>
    <w:rsid w:val="7FD07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sz w:val="28"/>
      <w:szCs w:val="40"/>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iPriority w:val="0"/>
    <w:pPr>
      <w:keepNext/>
      <w:keepLines/>
      <w:spacing w:before="200" w:after="200"/>
      <w:outlineLvl w:val="1"/>
    </w:pPr>
    <w:rPr>
      <w:rFonts w:ascii="Arial" w:hAnsi="Arial" w:cs="Times New Roman"/>
      <w:b/>
      <w:kern w:val="2"/>
      <w:sz w:val="21"/>
      <w:szCs w:val="20"/>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ind w:left="840" w:leftChars="400"/>
    </w:pPr>
  </w:style>
  <w:style w:type="paragraph" w:styleId="6">
    <w:name w:val="Plain Text"/>
    <w:basedOn w:val="1"/>
    <w:link w:val="21"/>
    <w:qFormat/>
    <w:uiPriority w:val="0"/>
    <w:rPr>
      <w:rFonts w:hAnsi="Courier New" w:cs="Times New Roman"/>
      <w:kern w:val="2"/>
      <w:sz w:val="21"/>
      <w:szCs w:val="20"/>
    </w:rPr>
  </w:style>
  <w:style w:type="paragraph" w:styleId="7">
    <w:name w:val="footer"/>
    <w:basedOn w:val="1"/>
    <w:link w:val="27"/>
    <w:unhideWhenUsed/>
    <w:qFormat/>
    <w:uiPriority w:val="99"/>
    <w:pPr>
      <w:tabs>
        <w:tab w:val="center" w:pos="4153"/>
        <w:tab w:val="right" w:pos="8306"/>
      </w:tabs>
      <w:snapToGrid w:val="0"/>
      <w:jc w:val="left"/>
    </w:pPr>
    <w:rPr>
      <w:sz w:val="18"/>
      <w:szCs w:val="18"/>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oc 2"/>
    <w:basedOn w:val="1"/>
    <w:next w:val="1"/>
    <w:autoRedefine/>
    <w:unhideWhenUsed/>
    <w:qFormat/>
    <w:uiPriority w:val="39"/>
    <w:pPr>
      <w:ind w:left="420" w:left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character" w:customStyle="1" w:styleId="16">
    <w:name w:val="标题 2 字符"/>
    <w:basedOn w:val="13"/>
    <w:link w:val="3"/>
    <w:qFormat/>
    <w:uiPriority w:val="0"/>
    <w:rPr>
      <w:rFonts w:ascii="Arial" w:hAnsi="Arial" w:cs="Times New Roman"/>
      <w:b/>
      <w:kern w:val="2"/>
      <w:sz w:val="21"/>
      <w:szCs w:val="20"/>
    </w:rPr>
  </w:style>
  <w:style w:type="character" w:customStyle="1" w:styleId="17">
    <w:name w:val="标题 3 字符"/>
    <w:basedOn w:val="13"/>
    <w:link w:val="4"/>
    <w:qFormat/>
    <w:uiPriority w:val="9"/>
    <w:rPr>
      <w:b/>
      <w:bCs/>
      <w:sz w:val="32"/>
      <w:szCs w:val="32"/>
    </w:rPr>
  </w:style>
  <w:style w:type="character" w:customStyle="1" w:styleId="18">
    <w:name w:val="标题 1 字符"/>
    <w:basedOn w:val="13"/>
    <w:link w:val="2"/>
    <w:qFormat/>
    <w:uiPriority w:val="9"/>
    <w:rPr>
      <w:b/>
      <w:bCs/>
      <w:kern w:val="44"/>
      <w:sz w:val="44"/>
      <w:szCs w:val="44"/>
    </w:rPr>
  </w:style>
  <w:style w:type="character" w:customStyle="1" w:styleId="19">
    <w:name w:val="列表段落 字符"/>
    <w:link w:val="20"/>
    <w:qFormat/>
    <w:uiPriority w:val="34"/>
    <w:rPr>
      <w:szCs w:val="24"/>
    </w:rPr>
  </w:style>
  <w:style w:type="paragraph" w:customStyle="1" w:styleId="20">
    <w:name w:val="列表段落1"/>
    <w:basedOn w:val="1"/>
    <w:link w:val="19"/>
    <w:qFormat/>
    <w:uiPriority w:val="34"/>
    <w:pPr>
      <w:ind w:firstLine="420" w:firstLineChars="200"/>
    </w:pPr>
    <w:rPr>
      <w:szCs w:val="24"/>
    </w:rPr>
  </w:style>
  <w:style w:type="character" w:customStyle="1" w:styleId="21">
    <w:name w:val="纯文本 字符"/>
    <w:basedOn w:val="13"/>
    <w:link w:val="6"/>
    <w:qFormat/>
    <w:uiPriority w:val="0"/>
    <w:rPr>
      <w:rFonts w:hAnsi="Courier New" w:cs="Times New Roman"/>
      <w:kern w:val="2"/>
      <w:sz w:val="21"/>
      <w:szCs w:val="20"/>
    </w:rPr>
  </w:style>
  <w:style w:type="paragraph" w:customStyle="1" w:styleId="22">
    <w:name w:val="样式3"/>
    <w:basedOn w:val="1"/>
    <w:qFormat/>
    <w:uiPriority w:val="0"/>
    <w:pPr>
      <w:spacing w:line="300" w:lineRule="auto"/>
    </w:pPr>
    <w:rPr>
      <w:rFonts w:hAnsi="Calibri" w:cs="Times New Roman"/>
      <w:kern w:val="2"/>
      <w:sz w:val="24"/>
      <w:szCs w:val="20"/>
    </w:rPr>
  </w:style>
  <w:style w:type="paragraph" w:customStyle="1" w:styleId="23">
    <w:name w:val="样式2"/>
    <w:basedOn w:val="1"/>
    <w:qFormat/>
    <w:uiPriority w:val="0"/>
    <w:pPr>
      <w:spacing w:line="300" w:lineRule="auto"/>
      <w:jc w:val="center"/>
      <w:outlineLvl w:val="0"/>
    </w:pPr>
    <w:rPr>
      <w:rFonts w:ascii="Calibri" w:hAnsi="Calibri" w:cs="Times New Roman"/>
      <w:b/>
      <w:kern w:val="2"/>
      <w:sz w:val="24"/>
      <w:szCs w:val="20"/>
    </w:rPr>
  </w:style>
  <w:style w:type="paragraph" w:customStyle="1" w:styleId="24">
    <w:name w:val="样式4"/>
    <w:basedOn w:val="1"/>
    <w:qFormat/>
    <w:uiPriority w:val="0"/>
    <w:pPr>
      <w:jc w:val="center"/>
      <w:outlineLvl w:val="0"/>
    </w:pPr>
    <w:rPr>
      <w:rFonts w:ascii="Calibri" w:hAnsi="Calibri" w:cs="Times New Roman"/>
      <w:b/>
      <w:kern w:val="2"/>
      <w:sz w:val="32"/>
      <w:szCs w:val="20"/>
    </w:rPr>
  </w:style>
  <w:style w:type="paragraph" w:customStyle="1" w:styleId="2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6">
    <w:name w:val="页眉 字符"/>
    <w:basedOn w:val="13"/>
    <w:link w:val="8"/>
    <w:qFormat/>
    <w:uiPriority w:val="99"/>
    <w:rPr>
      <w:sz w:val="18"/>
      <w:szCs w:val="18"/>
    </w:rPr>
  </w:style>
  <w:style w:type="character" w:customStyle="1" w:styleId="27">
    <w:name w:val="页脚 字符"/>
    <w:basedOn w:val="13"/>
    <w:link w:val="7"/>
    <w:qFormat/>
    <w:uiPriority w:val="99"/>
    <w:rPr>
      <w:sz w:val="18"/>
      <w:szCs w:val="18"/>
    </w:rPr>
  </w:style>
  <w:style w:type="paragraph" w:styleId="28">
    <w:name w:val="List Paragraph"/>
    <w:basedOn w:val="1"/>
    <w:qFormat/>
    <w:uiPriority w:val="34"/>
  </w:style>
  <w:style w:type="paragraph" w:customStyle="1" w:styleId="29">
    <w:name w:val="Table Paragraph"/>
    <w:basedOn w:val="1"/>
    <w:qFormat/>
    <w:uiPriority w:val="1"/>
    <w:pPr>
      <w:autoSpaceDE w:val="0"/>
      <w:autoSpaceDN w:val="0"/>
      <w:adjustRightInd w:val="0"/>
      <w:jc w:val="left"/>
    </w:pPr>
    <w:rPr>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76919-432E-4DD0-B04A-A162594479D4}">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3369</Words>
  <Characters>3663</Characters>
  <Lines>40</Lines>
  <Paragraphs>11</Paragraphs>
  <TotalTime>6</TotalTime>
  <ScaleCrop>false</ScaleCrop>
  <LinksUpToDate>false</LinksUpToDate>
  <CharactersWithSpaces>3707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2023-03-28T08:48:00Z</dcterms:created>
  <dc:creator>K ''</dc:creator>
  <cp:lastModifiedBy>HHHHH</cp:lastModifiedBy>
  <dcterms:modified xsi:type="dcterms:W3CDTF">2026-03-13T07:21:08Z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eyJoZGlkIjoiNzdkNmFmYmUzNmVmNWMzMjQzMGZlMzE4ODQ2YTFhMmEiLCJ1c2VySWQiOiI0NDAxNDg4ODEifQ==</vt:lpwstr>
  </property>
  <property fmtid="{D5CDD505-2E9C-101B-9397-08002B2CF9AE}" pid="3" name="KSOProductBuildVer">
    <vt:lpwstr>2052-12.1.0.25225</vt:lpwstr>
  </property>
  <property fmtid="{D5CDD505-2E9C-101B-9397-08002B2CF9AE}" pid="4" name="ICV">
    <vt:lpwstr>5AB752243D0843C9BC8C27D485B50895_13</vt:lpwstr>
  </property>
</Properties>
</file>