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32"/>
          <w:szCs w:val="32"/>
        </w:rPr>
      </w:pPr>
      <w:r>
        <w:rPr>
          <w:rFonts w:hint="eastAsia" w:ascii="宋体" w:hAnsi="宋体" w:cs="仿宋_GB2312"/>
          <w:sz w:val="32"/>
          <w:szCs w:val="32"/>
        </w:rPr>
        <w:t>附件2:</w:t>
      </w:r>
    </w:p>
    <w:p>
      <w:pPr>
        <w:pStyle w:val="2"/>
        <w:numPr>
          <w:ilvl w:val="0"/>
          <w:numId w:val="0"/>
        </w:numPr>
        <w:spacing w:before="312"/>
        <w:jc w:val="center"/>
        <w:rPr>
          <w:rFonts w:hint="eastAsia"/>
          <w:sz w:val="32"/>
          <w:szCs w:val="32"/>
        </w:rPr>
      </w:pPr>
      <w:r>
        <w:rPr>
          <w:rFonts w:hint="eastAsia"/>
          <w:sz w:val="32"/>
          <w:szCs w:val="32"/>
        </w:rPr>
        <w:t>北京市垂杨柳医院集成平台等系统维保</w:t>
      </w:r>
      <w:r>
        <w:rPr>
          <w:rFonts w:hint="eastAsia"/>
          <w:sz w:val="32"/>
          <w:szCs w:val="32"/>
          <w:lang w:val="en-US" w:eastAsia="zh-CN"/>
        </w:rPr>
        <w:t>项目</w:t>
      </w:r>
      <w:r>
        <w:rPr>
          <w:rFonts w:hint="eastAsia"/>
          <w:sz w:val="32"/>
          <w:szCs w:val="32"/>
        </w:rPr>
        <w:t>比选方案</w:t>
      </w:r>
    </w:p>
    <w:p>
      <w:pPr>
        <w:pStyle w:val="2"/>
        <w:spacing w:before="312"/>
        <w:rPr>
          <w:rFonts w:hint="eastAsia"/>
        </w:rPr>
      </w:pPr>
      <w:r>
        <w:rPr>
          <w:rFonts w:hint="eastAsia"/>
        </w:rPr>
        <w:t>项目概述</w:t>
      </w:r>
    </w:p>
    <w:p>
      <w:pPr>
        <w:ind w:firstLine="420" w:firstLineChars="200"/>
        <w:rPr>
          <w:rFonts w:hint="eastAsia" w:ascii="宋体" w:hAnsi="宋体"/>
        </w:rPr>
      </w:pPr>
      <w:r>
        <w:rPr>
          <w:rFonts w:ascii="宋体" w:hAnsi="宋体"/>
        </w:rPr>
        <w:t>北京市垂杨柳医院</w:t>
      </w:r>
      <w:r>
        <w:rPr>
          <w:rFonts w:hint="eastAsia" w:ascii="宋体" w:hAnsi="宋体"/>
        </w:rPr>
        <w:t>目前所使用的平台系统的运维服务期限即将到期，为了保证全院平台系统相关业务的正常开展，确保系统7*24小时正常运行，因此本项目对</w:t>
      </w:r>
      <w:r>
        <w:rPr>
          <w:rFonts w:ascii="宋体" w:hAnsi="宋体"/>
        </w:rPr>
        <w:t>北京市垂杨柳医院</w:t>
      </w:r>
      <w:r>
        <w:rPr>
          <w:rFonts w:hint="eastAsia" w:ascii="宋体" w:hAnsi="宋体"/>
        </w:rPr>
        <w:t>集成平台等系统软件进行维保。</w:t>
      </w:r>
    </w:p>
    <w:p>
      <w:pPr>
        <w:pStyle w:val="2"/>
        <w:spacing w:before="312"/>
        <w:rPr>
          <w:rFonts w:hint="eastAsia"/>
        </w:rPr>
      </w:pPr>
      <w:r>
        <w:rPr>
          <w:rFonts w:hint="eastAsia"/>
        </w:rPr>
        <w:t>项目内容</w:t>
      </w:r>
    </w:p>
    <w:tbl>
      <w:tblPr>
        <w:tblStyle w:val="18"/>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4"/>
        <w:gridCol w:w="1173"/>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Align w:val="center"/>
          </w:tcPr>
          <w:p>
            <w:pPr>
              <w:rPr>
                <w:rFonts w:ascii="宋体" w:hAnsi="宋体"/>
              </w:rPr>
            </w:pPr>
            <w:r>
              <w:rPr>
                <w:rFonts w:hint="eastAsia" w:ascii="宋体" w:hAnsi="宋体"/>
              </w:rPr>
              <w:t>序号</w:t>
            </w:r>
          </w:p>
        </w:tc>
        <w:tc>
          <w:tcPr>
            <w:tcW w:w="2524" w:type="dxa"/>
            <w:vAlign w:val="center"/>
          </w:tcPr>
          <w:p>
            <w:pPr>
              <w:jc w:val="center"/>
              <w:rPr>
                <w:rFonts w:ascii="宋体" w:hAnsi="宋体"/>
              </w:rPr>
            </w:pPr>
            <w:r>
              <w:rPr>
                <w:rFonts w:hint="eastAsia" w:ascii="宋体" w:hAnsi="宋体"/>
              </w:rPr>
              <w:t>名称</w:t>
            </w:r>
          </w:p>
        </w:tc>
        <w:tc>
          <w:tcPr>
            <w:tcW w:w="1173" w:type="dxa"/>
            <w:vAlign w:val="center"/>
          </w:tcPr>
          <w:p>
            <w:pPr>
              <w:jc w:val="center"/>
              <w:rPr>
                <w:rFonts w:ascii="宋体" w:hAnsi="宋体"/>
              </w:rPr>
            </w:pPr>
            <w:r>
              <w:rPr>
                <w:rFonts w:hint="eastAsia" w:ascii="宋体" w:hAnsi="宋体"/>
              </w:rPr>
              <w:t>数量</w:t>
            </w:r>
          </w:p>
        </w:tc>
        <w:tc>
          <w:tcPr>
            <w:tcW w:w="4630" w:type="dxa"/>
            <w:vAlign w:val="center"/>
          </w:tcPr>
          <w:p>
            <w:pPr>
              <w:rPr>
                <w:rFonts w:ascii="宋体" w:hAnsi="宋体"/>
              </w:rPr>
            </w:pPr>
            <w:r>
              <w:rPr>
                <w:rFonts w:hint="eastAsia" w:ascii="宋体" w:hAnsi="宋体"/>
              </w:rPr>
              <w:t>交货期/建设期/维保期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0" w:type="dxa"/>
            <w:vAlign w:val="center"/>
          </w:tcPr>
          <w:p>
            <w:pPr>
              <w:numPr>
                <w:ilvl w:val="0"/>
                <w:numId w:val="2"/>
              </w:numPr>
              <w:jc w:val="center"/>
              <w:rPr>
                <w:rFonts w:ascii="宋体" w:hAnsi="宋体"/>
              </w:rPr>
            </w:pPr>
          </w:p>
        </w:tc>
        <w:tc>
          <w:tcPr>
            <w:tcW w:w="2524" w:type="dxa"/>
            <w:vAlign w:val="center"/>
          </w:tcPr>
          <w:p>
            <w:pPr>
              <w:rPr>
                <w:rFonts w:hint="eastAsia" w:ascii="宋体" w:hAnsi="宋体" w:eastAsia="宋体"/>
                <w:lang w:val="en-US" w:eastAsia="zh-CN"/>
              </w:rPr>
            </w:pPr>
            <w:r>
              <w:rPr>
                <w:rFonts w:ascii="宋体" w:hAnsi="宋体"/>
              </w:rPr>
              <w:t>北京市垂杨柳医院</w:t>
            </w:r>
            <w:r>
              <w:rPr>
                <w:rFonts w:hint="eastAsia" w:ascii="宋体" w:hAnsi="宋体"/>
              </w:rPr>
              <w:t>集成平台等系统</w:t>
            </w:r>
            <w:r>
              <w:rPr>
                <w:rFonts w:ascii="宋体" w:hAnsi="宋体"/>
              </w:rPr>
              <w:t>维保</w:t>
            </w:r>
            <w:r>
              <w:rPr>
                <w:rFonts w:hint="eastAsia" w:ascii="宋体" w:hAnsi="宋体"/>
                <w:lang w:val="en-US" w:eastAsia="zh-CN"/>
              </w:rPr>
              <w:t>项目</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rPr>
            </w:pPr>
            <w:r>
              <w:rPr>
                <w:rFonts w:hint="eastAsia" w:ascii="宋体" w:hAnsi="宋体"/>
              </w:rPr>
              <w:t>1</w:t>
            </w:r>
          </w:p>
        </w:tc>
        <w:tc>
          <w:tcPr>
            <w:tcW w:w="4630" w:type="dxa"/>
            <w:vAlign w:val="center"/>
          </w:tcPr>
          <w:p>
            <w:pPr>
              <w:jc w:val="center"/>
              <w:rPr>
                <w:rFonts w:ascii="宋体" w:hAnsi="宋体"/>
              </w:rPr>
            </w:pPr>
            <w:r>
              <w:rPr>
                <w:rFonts w:hint="eastAsia" w:ascii="宋体" w:hAnsi="宋体"/>
              </w:rPr>
              <w:t>合同签定后12个月内</w:t>
            </w:r>
          </w:p>
        </w:tc>
      </w:tr>
    </w:tbl>
    <w:p>
      <w:pPr>
        <w:pStyle w:val="2"/>
        <w:spacing w:before="312"/>
        <w:rPr>
          <w:rFonts w:hint="eastAsia"/>
        </w:rPr>
      </w:pPr>
      <w:r>
        <w:rPr>
          <w:rFonts w:hint="eastAsia"/>
        </w:rPr>
        <w:t>技术要求</w:t>
      </w:r>
    </w:p>
    <w:p>
      <w:pPr>
        <w:pStyle w:val="4"/>
        <w:rPr>
          <w:rFonts w:ascii="宋体" w:hAnsi="宋体"/>
          <w:szCs w:val="32"/>
        </w:rPr>
      </w:pPr>
      <w:r>
        <w:rPr>
          <w:rFonts w:ascii="宋体" w:hAnsi="宋体"/>
          <w:szCs w:val="32"/>
        </w:rPr>
        <w:t>维保服务范围</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6031"/>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Align w:val="center"/>
          </w:tcPr>
          <w:p>
            <w:pPr>
              <w:rPr>
                <w:rFonts w:ascii="宋体" w:hAnsi="宋体"/>
              </w:rPr>
            </w:pPr>
            <w:r>
              <w:rPr>
                <w:rFonts w:hint="eastAsia" w:ascii="宋体" w:hAnsi="宋体"/>
              </w:rPr>
              <w:t>序号</w:t>
            </w:r>
          </w:p>
        </w:tc>
        <w:tc>
          <w:tcPr>
            <w:tcW w:w="3337" w:type="pct"/>
            <w:vAlign w:val="center"/>
          </w:tcPr>
          <w:p>
            <w:pPr>
              <w:rPr>
                <w:rFonts w:ascii="宋体" w:hAnsi="宋体"/>
              </w:rPr>
            </w:pPr>
            <w:r>
              <w:rPr>
                <w:rFonts w:hint="eastAsia" w:ascii="宋体" w:hAnsi="宋体"/>
              </w:rPr>
              <w:t>产品名称</w:t>
            </w:r>
          </w:p>
        </w:tc>
        <w:tc>
          <w:tcPr>
            <w:tcW w:w="923" w:type="pct"/>
            <w:vAlign w:val="center"/>
          </w:tcPr>
          <w:p>
            <w:pPr>
              <w:rPr>
                <w:rFonts w:ascii="宋体" w:hAnsi="宋体"/>
              </w:rPr>
            </w:pPr>
            <w:r>
              <w:rPr>
                <w:rFonts w:hint="eastAsia" w:ascii="宋体" w:hAnsi="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Align w:val="center"/>
          </w:tcPr>
          <w:p>
            <w:pPr>
              <w:rPr>
                <w:rFonts w:ascii="宋体" w:hAnsi="宋体"/>
              </w:rPr>
            </w:pPr>
            <w:r>
              <w:rPr>
                <w:rFonts w:ascii="宋体" w:hAnsi="宋体"/>
              </w:rPr>
              <w:t>1</w:t>
            </w:r>
          </w:p>
        </w:tc>
        <w:tc>
          <w:tcPr>
            <w:tcW w:w="3337" w:type="pct"/>
            <w:vAlign w:val="center"/>
          </w:tcPr>
          <w:p>
            <w:pPr>
              <w:rPr>
                <w:rFonts w:ascii="宋体" w:hAnsi="宋体"/>
              </w:rPr>
            </w:pPr>
            <w:r>
              <w:rPr>
                <w:rFonts w:hint="eastAsia" w:ascii="宋体" w:hAnsi="宋体"/>
              </w:rPr>
              <w:t>信息集成平台</w:t>
            </w:r>
          </w:p>
        </w:tc>
        <w:tc>
          <w:tcPr>
            <w:tcW w:w="923" w:type="pct"/>
            <w:vAlign w:val="center"/>
          </w:tcPr>
          <w:p>
            <w:pPr>
              <w:rPr>
                <w:rFonts w:ascii="宋体" w:hAnsi="宋体"/>
              </w:rPr>
            </w:pPr>
            <w:r>
              <w:rPr>
                <w:rFonts w:hint="eastAsia" w:ascii="宋体" w:hAnsi="宋体"/>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Align w:val="center"/>
          </w:tcPr>
          <w:p>
            <w:pPr>
              <w:rPr>
                <w:rFonts w:ascii="宋体" w:hAnsi="宋体"/>
              </w:rPr>
            </w:pPr>
            <w:r>
              <w:rPr>
                <w:rFonts w:ascii="宋体" w:hAnsi="宋体"/>
              </w:rPr>
              <w:t>2</w:t>
            </w:r>
          </w:p>
        </w:tc>
        <w:tc>
          <w:tcPr>
            <w:tcW w:w="3337" w:type="pct"/>
            <w:vAlign w:val="center"/>
          </w:tcPr>
          <w:p>
            <w:pPr>
              <w:rPr>
                <w:rFonts w:ascii="宋体" w:hAnsi="宋体"/>
              </w:rPr>
            </w:pPr>
            <w:r>
              <w:rPr>
                <w:rFonts w:hint="eastAsia" w:ascii="宋体" w:hAnsi="宋体"/>
              </w:rPr>
              <w:t>临床数据中心</w:t>
            </w:r>
          </w:p>
        </w:tc>
        <w:tc>
          <w:tcPr>
            <w:tcW w:w="923" w:type="pct"/>
            <w:vAlign w:val="center"/>
          </w:tcPr>
          <w:p>
            <w:pPr>
              <w:rPr>
                <w:rFonts w:ascii="宋体" w:hAnsi="宋体"/>
              </w:rPr>
            </w:pPr>
            <w:r>
              <w:rPr>
                <w:rFonts w:hint="eastAsia" w:ascii="宋体" w:hAnsi="宋体"/>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Align w:val="center"/>
          </w:tcPr>
          <w:p>
            <w:pPr>
              <w:rPr>
                <w:rFonts w:ascii="宋体" w:hAnsi="宋体"/>
              </w:rPr>
            </w:pPr>
            <w:r>
              <w:rPr>
                <w:rFonts w:ascii="宋体" w:hAnsi="宋体"/>
              </w:rPr>
              <w:t>3</w:t>
            </w:r>
          </w:p>
        </w:tc>
        <w:tc>
          <w:tcPr>
            <w:tcW w:w="3337" w:type="pct"/>
            <w:vAlign w:val="center"/>
          </w:tcPr>
          <w:p>
            <w:pPr>
              <w:rPr>
                <w:rFonts w:ascii="宋体" w:hAnsi="宋体"/>
              </w:rPr>
            </w:pPr>
            <w:r>
              <w:rPr>
                <w:rFonts w:hint="eastAsia" w:ascii="宋体" w:hAnsi="宋体"/>
              </w:rPr>
              <w:t>患者全息图</w:t>
            </w:r>
          </w:p>
        </w:tc>
        <w:tc>
          <w:tcPr>
            <w:tcW w:w="923" w:type="pct"/>
            <w:vAlign w:val="center"/>
          </w:tcPr>
          <w:p>
            <w:pPr>
              <w:rPr>
                <w:rFonts w:ascii="宋体" w:hAnsi="宋体"/>
              </w:rPr>
            </w:pPr>
            <w:r>
              <w:rPr>
                <w:rFonts w:hint="eastAsia" w:ascii="宋体" w:hAnsi="宋体"/>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Align w:val="center"/>
          </w:tcPr>
          <w:p>
            <w:pPr>
              <w:rPr>
                <w:rFonts w:ascii="宋体" w:hAnsi="宋体"/>
              </w:rPr>
            </w:pPr>
            <w:r>
              <w:rPr>
                <w:rFonts w:ascii="宋体" w:hAnsi="宋体"/>
              </w:rPr>
              <w:t>4</w:t>
            </w:r>
          </w:p>
        </w:tc>
        <w:tc>
          <w:tcPr>
            <w:tcW w:w="3337" w:type="pct"/>
            <w:vAlign w:val="center"/>
          </w:tcPr>
          <w:p>
            <w:pPr>
              <w:rPr>
                <w:rFonts w:ascii="宋体" w:hAnsi="宋体"/>
              </w:rPr>
            </w:pPr>
            <w:r>
              <w:rPr>
                <w:rFonts w:hint="eastAsia" w:ascii="宋体" w:hAnsi="宋体"/>
              </w:rPr>
              <w:t>单点登录</w:t>
            </w:r>
          </w:p>
        </w:tc>
        <w:tc>
          <w:tcPr>
            <w:tcW w:w="923" w:type="pct"/>
            <w:vAlign w:val="center"/>
          </w:tcPr>
          <w:p>
            <w:pPr>
              <w:rPr>
                <w:rFonts w:ascii="宋体" w:hAnsi="宋体"/>
              </w:rPr>
            </w:pPr>
            <w:r>
              <w:rPr>
                <w:rFonts w:hint="eastAsia" w:ascii="宋体" w:hAnsi="宋体"/>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Align w:val="center"/>
          </w:tcPr>
          <w:p>
            <w:pPr>
              <w:rPr>
                <w:rFonts w:ascii="宋体" w:hAnsi="宋体"/>
              </w:rPr>
            </w:pPr>
            <w:r>
              <w:rPr>
                <w:rFonts w:ascii="宋体" w:hAnsi="宋体"/>
              </w:rPr>
              <w:t>5</w:t>
            </w:r>
          </w:p>
        </w:tc>
        <w:tc>
          <w:tcPr>
            <w:tcW w:w="3337" w:type="pct"/>
            <w:vAlign w:val="center"/>
          </w:tcPr>
          <w:p>
            <w:pPr>
              <w:rPr>
                <w:rFonts w:ascii="宋体" w:hAnsi="宋体"/>
              </w:rPr>
            </w:pPr>
            <w:r>
              <w:rPr>
                <w:rFonts w:hint="eastAsia" w:ascii="宋体" w:hAnsi="宋体"/>
              </w:rPr>
              <w:t>急诊分诊系统</w:t>
            </w:r>
          </w:p>
        </w:tc>
        <w:tc>
          <w:tcPr>
            <w:tcW w:w="923" w:type="pct"/>
            <w:vAlign w:val="center"/>
          </w:tcPr>
          <w:p>
            <w:pPr>
              <w:rPr>
                <w:rFonts w:ascii="宋体" w:hAnsi="宋体"/>
              </w:rPr>
            </w:pPr>
            <w:r>
              <w:rPr>
                <w:rFonts w:hint="eastAsia" w:ascii="宋体" w:hAnsi="宋体"/>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Align w:val="center"/>
          </w:tcPr>
          <w:p>
            <w:pPr>
              <w:rPr>
                <w:rFonts w:ascii="宋体" w:hAnsi="宋体"/>
              </w:rPr>
            </w:pPr>
            <w:r>
              <w:rPr>
                <w:rFonts w:hint="eastAsia" w:ascii="宋体" w:hAnsi="宋体"/>
              </w:rPr>
              <w:t>6</w:t>
            </w:r>
          </w:p>
        </w:tc>
        <w:tc>
          <w:tcPr>
            <w:tcW w:w="3337" w:type="pct"/>
            <w:vAlign w:val="center"/>
          </w:tcPr>
          <w:p>
            <w:pPr>
              <w:rPr>
                <w:rFonts w:ascii="宋体" w:hAnsi="宋体"/>
              </w:rPr>
            </w:pPr>
            <w:r>
              <w:rPr>
                <w:rFonts w:hint="eastAsia" w:ascii="宋体" w:hAnsi="宋体"/>
              </w:rPr>
              <w:t>急诊护理系统</w:t>
            </w:r>
          </w:p>
        </w:tc>
        <w:tc>
          <w:tcPr>
            <w:tcW w:w="923" w:type="pct"/>
            <w:vAlign w:val="center"/>
          </w:tcPr>
          <w:p>
            <w:pPr>
              <w:rPr>
                <w:rFonts w:ascii="宋体" w:hAnsi="宋体"/>
              </w:rPr>
            </w:pPr>
            <w:r>
              <w:rPr>
                <w:rFonts w:hint="eastAsia" w:ascii="宋体" w:hAnsi="宋体"/>
              </w:rPr>
              <w:t>1套</w:t>
            </w:r>
          </w:p>
        </w:tc>
      </w:tr>
    </w:tbl>
    <w:p>
      <w:pPr>
        <w:pStyle w:val="4"/>
        <w:rPr>
          <w:rFonts w:ascii="宋体" w:hAnsi="宋体"/>
          <w:szCs w:val="32"/>
        </w:rPr>
      </w:pPr>
      <w:r>
        <w:rPr>
          <w:rFonts w:hint="eastAsia" w:ascii="宋体" w:hAnsi="宋体"/>
          <w:szCs w:val="32"/>
          <w:lang w:val="en-US" w:eastAsia="zh-CN"/>
        </w:rPr>
        <w:t>功能表</w:t>
      </w:r>
    </w:p>
    <w:tbl>
      <w:tblPr>
        <w:tblStyle w:val="18"/>
        <w:tblW w:w="11906"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240"/>
        <w:gridCol w:w="1376"/>
        <w:gridCol w:w="574"/>
        <w:gridCol w:w="1993"/>
        <w:gridCol w:w="3746"/>
        <w:gridCol w:w="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w:hAnsi="微软雅黑" w:eastAsia="微软雅黑"/>
                <w:b/>
                <w:color w:val="000000"/>
                <w:sz w:val="22"/>
                <w:szCs w:val="24"/>
              </w:rPr>
            </w:pPr>
            <w:r>
              <w:rPr>
                <w:rFonts w:hint="eastAsia" w:ascii="微软雅黑" w:hAnsi="微软雅黑" w:eastAsia="微软雅黑"/>
                <w:b/>
                <w:color w:val="000000"/>
                <w:sz w:val="22"/>
                <w:szCs w:val="24"/>
              </w:rPr>
              <w:t>序号</w:t>
            </w:r>
          </w:p>
        </w:tc>
        <w:tc>
          <w:tcPr>
            <w:tcW w:w="1616"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w:hAnsi="微软雅黑" w:eastAsia="微软雅黑"/>
                <w:b/>
                <w:color w:val="000000"/>
                <w:sz w:val="22"/>
                <w:szCs w:val="24"/>
              </w:rPr>
            </w:pPr>
            <w:r>
              <w:rPr>
                <w:rFonts w:hint="eastAsia" w:ascii="微软雅黑" w:hAnsi="微软雅黑" w:eastAsia="微软雅黑"/>
                <w:b/>
                <w:color w:val="000000"/>
                <w:sz w:val="22"/>
                <w:szCs w:val="24"/>
              </w:rPr>
              <w:t>业务分类</w:t>
            </w:r>
          </w:p>
        </w:tc>
        <w:tc>
          <w:tcPr>
            <w:tcW w:w="2567"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w:hAnsi="微软雅黑" w:eastAsia="微软雅黑"/>
                <w:b/>
                <w:color w:val="000000"/>
                <w:sz w:val="22"/>
                <w:szCs w:val="24"/>
              </w:rPr>
            </w:pPr>
            <w:r>
              <w:rPr>
                <w:rFonts w:hint="eastAsia" w:ascii="微软雅黑" w:hAnsi="微软雅黑" w:eastAsia="微软雅黑"/>
                <w:b/>
                <w:color w:val="000000"/>
                <w:sz w:val="22"/>
                <w:szCs w:val="24"/>
              </w:rPr>
              <w:t>系统名称</w:t>
            </w:r>
          </w:p>
        </w:tc>
        <w:tc>
          <w:tcPr>
            <w:tcW w:w="374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微软雅黑" w:hAnsi="微软雅黑" w:eastAsia="微软雅黑"/>
                <w:b/>
                <w:color w:val="000000"/>
                <w:sz w:val="22"/>
                <w:szCs w:val="24"/>
              </w:rPr>
            </w:pPr>
            <w:r>
              <w:rPr>
                <w:rFonts w:hint="eastAsia" w:ascii="微软雅黑" w:hAnsi="微软雅黑" w:eastAsia="微软雅黑"/>
                <w:b/>
                <w:color w:val="000000"/>
                <w:sz w:val="22"/>
                <w:szCs w:val="24"/>
              </w:rPr>
              <w:t>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1</w:t>
            </w:r>
          </w:p>
        </w:tc>
        <w:tc>
          <w:tcPr>
            <w:tcW w:w="1616" w:type="dxa"/>
            <w:gridSpan w:val="2"/>
            <w:tcBorders>
              <w:top w:val="single" w:color="auto" w:sz="6" w:space="0"/>
              <w:left w:val="single" w:color="auto" w:sz="6" w:space="0"/>
              <w:bottom w:val="single" w:color="auto" w:sz="6" w:space="0"/>
              <w:right w:val="single" w:color="auto" w:sz="6" w:space="0"/>
            </w:tcBorders>
            <w:shd w:val="clear" w:color="auto" w:fill="auto"/>
            <w:noWrap w:val="0"/>
            <w:vAlign w:val="top"/>
          </w:tcPr>
          <w:p>
            <w:pPr>
              <w:spacing w:beforeLines="0" w:afterLines="0"/>
              <w:jc w:val="center"/>
              <w:rPr>
                <w:rFonts w:hint="eastAsia" w:ascii="微软雅黑 Light" w:hAnsi="微软雅黑 Light" w:eastAsia="微软雅黑 Light"/>
                <w:b/>
                <w:color w:val="000000"/>
                <w:sz w:val="20"/>
                <w:szCs w:val="24"/>
              </w:rPr>
            </w:pPr>
            <w:r>
              <w:rPr>
                <w:rFonts w:hint="eastAsia" w:ascii="微软雅黑 Light" w:hAnsi="微软雅黑 Light" w:eastAsia="微软雅黑 Light"/>
                <w:b/>
                <w:color w:val="000000"/>
                <w:sz w:val="20"/>
                <w:szCs w:val="24"/>
              </w:rPr>
              <w:t>集成平台</w:t>
            </w:r>
          </w:p>
        </w:tc>
        <w:tc>
          <w:tcPr>
            <w:tcW w:w="2567"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信息集成引擎</w:t>
            </w:r>
          </w:p>
        </w:tc>
        <w:tc>
          <w:tcPr>
            <w:tcW w:w="374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通过信息集成引擎，承担数据和消息的通讯和传输功能。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2</w:t>
            </w:r>
          </w:p>
        </w:tc>
        <w:tc>
          <w:tcPr>
            <w:tcW w:w="1616" w:type="dxa"/>
            <w:gridSpan w:val="2"/>
            <w:tcBorders>
              <w:top w:val="single" w:color="auto" w:sz="6" w:space="0"/>
              <w:left w:val="single" w:color="auto" w:sz="6" w:space="0"/>
              <w:bottom w:val="single" w:color="auto" w:sz="6" w:space="0"/>
              <w:right w:val="single" w:color="auto" w:sz="6" w:space="0"/>
            </w:tcBorders>
            <w:shd w:val="clear" w:color="auto" w:fill="auto"/>
            <w:noWrap w:val="0"/>
            <w:vAlign w:val="top"/>
          </w:tcPr>
          <w:p>
            <w:pPr>
              <w:spacing w:beforeLines="0" w:afterLines="0"/>
              <w:jc w:val="center"/>
              <w:rPr>
                <w:rFonts w:hint="eastAsia" w:ascii="微软雅黑 Light" w:hAnsi="微软雅黑 Light" w:eastAsia="微软雅黑 Light"/>
                <w:b/>
                <w:color w:val="000000"/>
                <w:sz w:val="20"/>
                <w:szCs w:val="24"/>
              </w:rPr>
            </w:pPr>
          </w:p>
        </w:tc>
        <w:tc>
          <w:tcPr>
            <w:tcW w:w="2567"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一体化监控平台</w:t>
            </w:r>
          </w:p>
        </w:tc>
        <w:tc>
          <w:tcPr>
            <w:tcW w:w="374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对平台所有消息队列、服务数、服务交互流程（提供方、消费方）、服务异常等状态等进行监控可视化、统一界面管理，使得医院对所有业务系统接口管理更具有控制权、主动权利、针对标准服务的统计功能、字典类服务调用的统计功能、针对患者业务系统上数据流转的日志查询和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3</w:t>
            </w:r>
          </w:p>
        </w:tc>
        <w:tc>
          <w:tcPr>
            <w:tcW w:w="1616" w:type="dxa"/>
            <w:gridSpan w:val="2"/>
            <w:tcBorders>
              <w:top w:val="single" w:color="auto" w:sz="6" w:space="0"/>
              <w:left w:val="single" w:color="auto" w:sz="6" w:space="0"/>
              <w:bottom w:val="single" w:color="auto" w:sz="6" w:space="0"/>
              <w:right w:val="single" w:color="auto" w:sz="6" w:space="0"/>
            </w:tcBorders>
            <w:shd w:val="clear" w:color="auto" w:fill="auto"/>
            <w:noWrap w:val="0"/>
            <w:vAlign w:val="top"/>
          </w:tcPr>
          <w:p>
            <w:pPr>
              <w:spacing w:beforeLines="0" w:afterLines="0"/>
              <w:jc w:val="center"/>
              <w:rPr>
                <w:rFonts w:hint="eastAsia" w:ascii="微软雅黑 Light" w:hAnsi="微软雅黑 Light" w:eastAsia="微软雅黑 Light"/>
                <w:b/>
                <w:color w:val="000000"/>
                <w:sz w:val="20"/>
                <w:szCs w:val="24"/>
              </w:rPr>
            </w:pPr>
          </w:p>
        </w:tc>
        <w:tc>
          <w:tcPr>
            <w:tcW w:w="2567"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一体化服务平台</w:t>
            </w:r>
          </w:p>
        </w:tc>
        <w:tc>
          <w:tcPr>
            <w:tcW w:w="374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结合HL7标准，发布业务系统标准交互服务，按照业务系统发布订阅、请求响应所需服务需求，进行接入管理及业务系统数据交换，保证业务系统、平台间数据的一致性、准确性。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4</w:t>
            </w:r>
          </w:p>
        </w:tc>
        <w:tc>
          <w:tcPr>
            <w:tcW w:w="1616" w:type="dxa"/>
            <w:gridSpan w:val="2"/>
            <w:tcBorders>
              <w:top w:val="single" w:color="auto" w:sz="6" w:space="0"/>
              <w:left w:val="single" w:color="auto" w:sz="6" w:space="0"/>
              <w:bottom w:val="single" w:color="auto" w:sz="6" w:space="0"/>
              <w:right w:val="single" w:color="auto" w:sz="6" w:space="0"/>
            </w:tcBorders>
            <w:shd w:val="clear" w:color="auto" w:fill="auto"/>
            <w:noWrap w:val="0"/>
            <w:vAlign w:val="top"/>
          </w:tcPr>
          <w:p>
            <w:pPr>
              <w:spacing w:beforeLines="0" w:afterLines="0"/>
              <w:jc w:val="center"/>
              <w:rPr>
                <w:rFonts w:hint="eastAsia" w:ascii="微软雅黑 Light" w:hAnsi="微软雅黑 Light" w:eastAsia="微软雅黑 Light"/>
                <w:b/>
                <w:color w:val="000000"/>
                <w:sz w:val="20"/>
                <w:szCs w:val="24"/>
              </w:rPr>
            </w:pPr>
          </w:p>
        </w:tc>
        <w:tc>
          <w:tcPr>
            <w:tcW w:w="2567"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一体化接入平台</w:t>
            </w:r>
          </w:p>
        </w:tc>
        <w:tc>
          <w:tcPr>
            <w:tcW w:w="374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一体化接入平台围绕第三方的接入展开一系列的操作。主要功能是平台对第三方开发者接入的授权、审核及接入环境、具体操作和一些常见问题的帮助等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5</w:t>
            </w:r>
          </w:p>
        </w:tc>
        <w:tc>
          <w:tcPr>
            <w:tcW w:w="1616" w:type="dxa"/>
            <w:gridSpan w:val="2"/>
            <w:tcBorders>
              <w:top w:val="single" w:color="auto" w:sz="6" w:space="0"/>
              <w:left w:val="single" w:color="auto" w:sz="6" w:space="0"/>
              <w:bottom w:val="single" w:color="auto" w:sz="6" w:space="0"/>
              <w:right w:val="single" w:color="auto" w:sz="6" w:space="0"/>
            </w:tcBorders>
            <w:shd w:val="clear" w:color="auto" w:fill="auto"/>
            <w:noWrap w:val="0"/>
            <w:vAlign w:val="top"/>
          </w:tcPr>
          <w:p>
            <w:pPr>
              <w:spacing w:beforeLines="0" w:afterLines="0"/>
              <w:jc w:val="center"/>
              <w:rPr>
                <w:rFonts w:hint="eastAsia" w:ascii="微软雅黑 Light" w:hAnsi="微软雅黑 Light" w:eastAsia="微软雅黑 Light"/>
                <w:b/>
                <w:color w:val="000000"/>
                <w:sz w:val="20"/>
                <w:szCs w:val="24"/>
              </w:rPr>
            </w:pPr>
          </w:p>
        </w:tc>
        <w:tc>
          <w:tcPr>
            <w:tcW w:w="2567"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权限管理系统</w:t>
            </w:r>
          </w:p>
        </w:tc>
        <w:tc>
          <w:tcPr>
            <w:tcW w:w="374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针对信息平台管理系统账户权限进行统一配置管理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6</w:t>
            </w:r>
          </w:p>
        </w:tc>
        <w:tc>
          <w:tcPr>
            <w:tcW w:w="1616" w:type="dxa"/>
            <w:gridSpan w:val="2"/>
            <w:tcBorders>
              <w:top w:val="single" w:color="auto" w:sz="6" w:space="0"/>
              <w:left w:val="single" w:color="auto" w:sz="6" w:space="0"/>
              <w:bottom w:val="single" w:color="auto" w:sz="6" w:space="0"/>
              <w:right w:val="single" w:color="auto" w:sz="6" w:space="0"/>
            </w:tcBorders>
            <w:shd w:val="clear" w:color="auto" w:fill="auto"/>
            <w:noWrap w:val="0"/>
            <w:vAlign w:val="top"/>
          </w:tcPr>
          <w:p>
            <w:pPr>
              <w:spacing w:beforeLines="0" w:afterLines="0"/>
              <w:jc w:val="center"/>
              <w:rPr>
                <w:rFonts w:hint="eastAsia" w:ascii="微软雅黑 Light" w:hAnsi="微软雅黑 Light" w:eastAsia="微软雅黑 Light"/>
                <w:b/>
                <w:color w:val="000000"/>
                <w:sz w:val="20"/>
                <w:szCs w:val="24"/>
              </w:rPr>
            </w:pPr>
          </w:p>
        </w:tc>
        <w:tc>
          <w:tcPr>
            <w:tcW w:w="2567"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MQSDK管理平台</w:t>
            </w:r>
          </w:p>
        </w:tc>
        <w:tc>
          <w:tcPr>
            <w:tcW w:w="374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提供独立SDK接入支持包，可供第三方业务厂商根据相应开发语言，进行自主接口接入、联调、测试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7</w:t>
            </w:r>
          </w:p>
        </w:tc>
        <w:tc>
          <w:tcPr>
            <w:tcW w:w="1616" w:type="dxa"/>
            <w:gridSpan w:val="2"/>
            <w:tcBorders>
              <w:top w:val="single" w:color="auto" w:sz="6" w:space="0"/>
              <w:left w:val="single" w:color="auto" w:sz="6" w:space="0"/>
              <w:bottom w:val="single" w:color="auto" w:sz="6" w:space="0"/>
              <w:right w:val="single" w:color="auto" w:sz="6" w:space="0"/>
            </w:tcBorders>
            <w:shd w:val="solid" w:color="FFFFFF" w:fill="auto"/>
            <w:noWrap w:val="0"/>
            <w:vAlign w:val="top"/>
          </w:tcPr>
          <w:p>
            <w:pPr>
              <w:spacing w:beforeLines="0" w:afterLines="0"/>
              <w:jc w:val="center"/>
              <w:rPr>
                <w:rFonts w:hint="eastAsia" w:ascii="微软雅黑 Light" w:hAnsi="微软雅黑 Light" w:eastAsia="微软雅黑 Light"/>
                <w:b/>
                <w:color w:val="000000"/>
                <w:sz w:val="20"/>
                <w:szCs w:val="24"/>
              </w:rPr>
            </w:pPr>
            <w:r>
              <w:rPr>
                <w:rFonts w:hint="eastAsia" w:ascii="微软雅黑 Light" w:hAnsi="微软雅黑 Light" w:eastAsia="微软雅黑 Light"/>
                <w:b/>
                <w:color w:val="000000"/>
                <w:sz w:val="20"/>
                <w:szCs w:val="24"/>
              </w:rPr>
              <w:t>主数据管理平台</w:t>
            </w:r>
          </w:p>
        </w:tc>
        <w:tc>
          <w:tcPr>
            <w:tcW w:w="2567"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主数据管理系统</w:t>
            </w:r>
          </w:p>
        </w:tc>
        <w:tc>
          <w:tcPr>
            <w:tcW w:w="374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梳理医院原有业务系统字典，实现统一编码、管理，如：收费项目、医嘱字典、诊断、疾病代码、医保等字典按照时间基线进行统一管理，保障系统间数据的唯一性、一致性。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8</w:t>
            </w:r>
          </w:p>
        </w:tc>
        <w:tc>
          <w:tcPr>
            <w:tcW w:w="1616" w:type="dxa"/>
            <w:gridSpan w:val="2"/>
            <w:tcBorders>
              <w:top w:val="single" w:color="auto" w:sz="6" w:space="0"/>
              <w:left w:val="single" w:color="auto" w:sz="6" w:space="0"/>
              <w:bottom w:val="single" w:color="auto" w:sz="6" w:space="0"/>
              <w:right w:val="single" w:color="auto" w:sz="6" w:space="0"/>
            </w:tcBorders>
            <w:shd w:val="solid" w:color="FFFFFF" w:fill="auto"/>
            <w:noWrap w:val="0"/>
            <w:vAlign w:val="top"/>
          </w:tcPr>
          <w:p>
            <w:pPr>
              <w:spacing w:beforeLines="0" w:afterLines="0"/>
              <w:jc w:val="center"/>
              <w:rPr>
                <w:rFonts w:hint="eastAsia" w:ascii="微软雅黑 Light" w:hAnsi="微软雅黑 Light" w:eastAsia="微软雅黑 Light"/>
                <w:b/>
                <w:color w:val="000000"/>
                <w:sz w:val="20"/>
                <w:szCs w:val="24"/>
              </w:rPr>
            </w:pPr>
          </w:p>
        </w:tc>
        <w:tc>
          <w:tcPr>
            <w:tcW w:w="2567"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主索引管理系统</w:t>
            </w:r>
          </w:p>
        </w:tc>
        <w:tc>
          <w:tcPr>
            <w:tcW w:w="374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实现患者、科室、职工等主索引管理；能够实现实时注册、更新、合并。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10</w:t>
            </w:r>
          </w:p>
        </w:tc>
        <w:tc>
          <w:tcPr>
            <w:tcW w:w="1616" w:type="dxa"/>
            <w:gridSpan w:val="2"/>
            <w:tcBorders>
              <w:top w:val="single" w:color="auto" w:sz="6" w:space="0"/>
              <w:left w:val="single" w:color="auto" w:sz="6" w:space="0"/>
              <w:bottom w:val="single" w:color="auto" w:sz="6" w:space="0"/>
              <w:right w:val="single" w:color="auto" w:sz="6" w:space="0"/>
            </w:tcBorders>
            <w:shd w:val="clear" w:color="auto" w:fill="auto"/>
            <w:noWrap w:val="0"/>
            <w:vAlign w:val="top"/>
          </w:tcPr>
          <w:p>
            <w:pPr>
              <w:spacing w:beforeLines="0" w:afterLines="0"/>
              <w:jc w:val="center"/>
              <w:rPr>
                <w:rFonts w:hint="eastAsia" w:ascii="微软雅黑 Light" w:hAnsi="微软雅黑 Light" w:eastAsia="微软雅黑 Light"/>
                <w:b/>
                <w:color w:val="000000"/>
                <w:sz w:val="20"/>
                <w:szCs w:val="24"/>
              </w:rPr>
            </w:pPr>
            <w:r>
              <w:rPr>
                <w:rFonts w:hint="eastAsia" w:ascii="微软雅黑 Light" w:hAnsi="微软雅黑 Light" w:eastAsia="微软雅黑 Light"/>
                <w:b/>
                <w:color w:val="000000"/>
                <w:sz w:val="20"/>
                <w:szCs w:val="24"/>
              </w:rPr>
              <w:t>数据中心及应用</w:t>
            </w:r>
          </w:p>
        </w:tc>
        <w:tc>
          <w:tcPr>
            <w:tcW w:w="2567"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数据接入引擎</w:t>
            </w:r>
          </w:p>
        </w:tc>
        <w:tc>
          <w:tcPr>
            <w:tcW w:w="374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采用国际、国内主流数据接入技术，实现实时数据、非实时数据统一接入到操作数据存储ODS（Operational Data Store）库。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11</w:t>
            </w:r>
          </w:p>
        </w:tc>
        <w:tc>
          <w:tcPr>
            <w:tcW w:w="1616" w:type="dxa"/>
            <w:gridSpan w:val="2"/>
            <w:tcBorders>
              <w:top w:val="single" w:color="auto" w:sz="6" w:space="0"/>
              <w:left w:val="single" w:color="auto" w:sz="6" w:space="0"/>
              <w:bottom w:val="single" w:color="auto" w:sz="6" w:space="0"/>
              <w:right w:val="single" w:color="auto" w:sz="6" w:space="0"/>
            </w:tcBorders>
            <w:shd w:val="clear" w:color="auto" w:fill="auto"/>
            <w:noWrap w:val="0"/>
            <w:vAlign w:val="top"/>
          </w:tcPr>
          <w:p>
            <w:pPr>
              <w:spacing w:beforeLines="0" w:afterLines="0"/>
              <w:jc w:val="center"/>
              <w:rPr>
                <w:rFonts w:hint="eastAsia" w:ascii="微软雅黑 Light" w:hAnsi="微软雅黑 Light" w:eastAsia="微软雅黑 Light"/>
                <w:b/>
                <w:color w:val="000000"/>
                <w:sz w:val="20"/>
                <w:szCs w:val="24"/>
              </w:rPr>
            </w:pPr>
          </w:p>
        </w:tc>
        <w:tc>
          <w:tcPr>
            <w:tcW w:w="2567"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临床数据库（CDR）-传统版</w:t>
            </w:r>
          </w:p>
        </w:tc>
        <w:tc>
          <w:tcPr>
            <w:tcW w:w="374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通过对操作数据存储库ODS进行数据抽取、清洗、加工、转换，将临床业务数据标准化后存入临床数据库（CDR）中。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13</w:t>
            </w:r>
          </w:p>
        </w:tc>
        <w:tc>
          <w:tcPr>
            <w:tcW w:w="1616" w:type="dxa"/>
            <w:gridSpan w:val="2"/>
            <w:tcBorders>
              <w:top w:val="single" w:color="auto" w:sz="6" w:space="0"/>
              <w:left w:val="single" w:color="auto" w:sz="6" w:space="0"/>
              <w:bottom w:val="single" w:color="auto" w:sz="6" w:space="0"/>
              <w:right w:val="single" w:color="auto" w:sz="6" w:space="0"/>
            </w:tcBorders>
            <w:shd w:val="clear" w:color="auto" w:fill="auto"/>
            <w:noWrap w:val="0"/>
            <w:vAlign w:val="top"/>
          </w:tcPr>
          <w:p>
            <w:pPr>
              <w:spacing w:beforeLines="0" w:afterLines="0"/>
              <w:jc w:val="center"/>
              <w:rPr>
                <w:rFonts w:hint="eastAsia" w:ascii="微软雅黑 Light" w:hAnsi="微软雅黑 Light" w:eastAsia="微软雅黑 Light"/>
                <w:b/>
                <w:color w:val="000000"/>
                <w:sz w:val="20"/>
                <w:szCs w:val="24"/>
              </w:rPr>
            </w:pPr>
          </w:p>
        </w:tc>
        <w:tc>
          <w:tcPr>
            <w:tcW w:w="2567"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运营管理库（MDR）</w:t>
            </w:r>
          </w:p>
        </w:tc>
        <w:tc>
          <w:tcPr>
            <w:tcW w:w="374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通过对操作数据存储库ODS进行数据抽取、清洗、加工、转换，将医院运营管理数据存入运营管理库（MDR）中。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14</w:t>
            </w:r>
          </w:p>
        </w:tc>
        <w:tc>
          <w:tcPr>
            <w:tcW w:w="1616" w:type="dxa"/>
            <w:gridSpan w:val="2"/>
            <w:tcBorders>
              <w:top w:val="single" w:color="auto" w:sz="6" w:space="0"/>
              <w:left w:val="single" w:color="auto" w:sz="6" w:space="0"/>
              <w:bottom w:val="single" w:color="auto" w:sz="6" w:space="0"/>
              <w:right w:val="single" w:color="auto" w:sz="6" w:space="0"/>
            </w:tcBorders>
            <w:noWrap w:val="0"/>
            <w:vAlign w:val="top"/>
          </w:tcPr>
          <w:p>
            <w:pPr>
              <w:spacing w:beforeLines="0" w:afterLines="0"/>
              <w:jc w:val="center"/>
              <w:rPr>
                <w:rFonts w:hint="eastAsia" w:ascii="微软雅黑 Light" w:hAnsi="微软雅黑 Light" w:eastAsia="微软雅黑 Light"/>
                <w:b/>
                <w:color w:val="000000"/>
                <w:sz w:val="20"/>
                <w:szCs w:val="24"/>
              </w:rPr>
            </w:pPr>
          </w:p>
        </w:tc>
        <w:tc>
          <w:tcPr>
            <w:tcW w:w="2567"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共享文档库（CDA）</w:t>
            </w:r>
          </w:p>
        </w:tc>
        <w:tc>
          <w:tcPr>
            <w:tcW w:w="374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通过对操作数据存储库ODS进行数据抽取、清洗、加工、转换，形成以患者为中心的电子病历数据存入共享文档库（CDA）中。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default" w:ascii="微软雅黑 Light" w:hAnsi="微软雅黑 Light" w:eastAsia="微软雅黑 Light"/>
                <w:color w:val="000000"/>
                <w:sz w:val="20"/>
                <w:szCs w:val="24"/>
                <w:lang w:val="en-US" w:eastAsia="zh-CN"/>
              </w:rPr>
            </w:pPr>
            <w:r>
              <w:rPr>
                <w:rFonts w:hint="eastAsia" w:ascii="微软雅黑 Light" w:hAnsi="微软雅黑 Light" w:eastAsia="微软雅黑 Light"/>
                <w:color w:val="000000"/>
                <w:sz w:val="20"/>
                <w:szCs w:val="24"/>
                <w:lang w:val="en-US" w:eastAsia="zh-CN"/>
              </w:rPr>
              <w:t>15</w:t>
            </w:r>
          </w:p>
        </w:tc>
        <w:tc>
          <w:tcPr>
            <w:tcW w:w="1616" w:type="dxa"/>
            <w:gridSpan w:val="2"/>
            <w:tcBorders>
              <w:top w:val="single" w:color="auto" w:sz="6" w:space="0"/>
              <w:left w:val="single" w:color="auto" w:sz="6" w:space="0"/>
              <w:bottom w:val="single" w:color="auto" w:sz="6" w:space="0"/>
              <w:right w:val="single" w:color="auto" w:sz="6" w:space="0"/>
            </w:tcBorders>
            <w:shd w:val="clear" w:color="auto" w:fill="auto"/>
            <w:noWrap w:val="0"/>
            <w:vAlign w:val="top"/>
          </w:tcPr>
          <w:p>
            <w:pPr>
              <w:spacing w:beforeLines="0" w:afterLines="0"/>
              <w:jc w:val="center"/>
              <w:rPr>
                <w:rFonts w:hint="eastAsia" w:ascii="微软雅黑 Light" w:hAnsi="微软雅黑 Light" w:eastAsia="微软雅黑 Light"/>
                <w:b/>
                <w:color w:val="000000"/>
                <w:sz w:val="20"/>
                <w:szCs w:val="24"/>
              </w:rPr>
            </w:pPr>
          </w:p>
        </w:tc>
        <w:tc>
          <w:tcPr>
            <w:tcW w:w="2567"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患者360全息视图</w:t>
            </w:r>
          </w:p>
        </w:tc>
        <w:tc>
          <w:tcPr>
            <w:tcW w:w="374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以患者为中心，全面展示患者本次/历次就诊的所有病历数据，包含：患者基本信息、诊断、医嘱、检验、检查、输血、手术、护理、会诊、病历等。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Light" w:hAnsi="微软雅黑 Light" w:eastAsia="微软雅黑 Light"/>
                <w:color w:val="000000"/>
                <w:sz w:val="20"/>
                <w:szCs w:val="24"/>
                <w:lang w:val="en-US" w:eastAsia="zh-CN"/>
              </w:rPr>
            </w:pPr>
            <w:r>
              <w:rPr>
                <w:rFonts w:hint="eastAsia" w:ascii="微软雅黑 Light" w:hAnsi="微软雅黑 Light" w:eastAsia="微软雅黑 Light"/>
                <w:color w:val="000000"/>
                <w:sz w:val="20"/>
                <w:szCs w:val="24"/>
                <w:lang w:val="en-US" w:eastAsia="zh-CN"/>
              </w:rPr>
              <w:t>16</w:t>
            </w:r>
          </w:p>
        </w:tc>
        <w:tc>
          <w:tcPr>
            <w:tcW w:w="1616" w:type="dxa"/>
            <w:gridSpan w:val="2"/>
            <w:tcBorders>
              <w:top w:val="single" w:color="auto" w:sz="6" w:space="0"/>
              <w:left w:val="single" w:color="auto" w:sz="6" w:space="0"/>
              <w:bottom w:val="single" w:color="auto" w:sz="6" w:space="0"/>
              <w:right w:val="single" w:color="auto" w:sz="6" w:space="0"/>
            </w:tcBorders>
            <w:shd w:val="clear" w:color="auto" w:fill="auto"/>
            <w:noWrap w:val="0"/>
            <w:vAlign w:val="top"/>
          </w:tcPr>
          <w:p>
            <w:pPr>
              <w:spacing w:beforeLines="0" w:afterLines="0"/>
              <w:jc w:val="center"/>
              <w:rPr>
                <w:rFonts w:hint="eastAsia" w:ascii="微软雅黑 Light" w:hAnsi="微软雅黑 Light" w:eastAsia="微软雅黑 Light"/>
                <w:b/>
                <w:color w:val="000000"/>
                <w:sz w:val="20"/>
                <w:szCs w:val="24"/>
              </w:rPr>
            </w:pPr>
          </w:p>
        </w:tc>
        <w:tc>
          <w:tcPr>
            <w:tcW w:w="2567"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闭环流程追溯管理系统</w:t>
            </w:r>
          </w:p>
        </w:tc>
        <w:tc>
          <w:tcPr>
            <w:tcW w:w="374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依托临床数据中心，整合医院业务、管理等系统，以医嘱为起点或院内管理部门触发的程节点追溯，全面展示整个闭环链路各节点（执行人、执行时间等信息），便于临床及管理对整体医疗质量、质控分析；根据医院实际实现的闭环做业务节点数据展示，系统提供页面链接可共业务系统调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default" w:ascii="微软雅黑 Light" w:hAnsi="微软雅黑 Light" w:eastAsia="微软雅黑 Light"/>
                <w:color w:val="000000"/>
                <w:sz w:val="20"/>
                <w:szCs w:val="24"/>
                <w:lang w:val="en-US" w:eastAsia="zh-CN"/>
              </w:rPr>
            </w:pPr>
            <w:r>
              <w:rPr>
                <w:rFonts w:hint="eastAsia" w:ascii="微软雅黑 Light" w:hAnsi="微软雅黑 Light" w:eastAsia="微软雅黑 Light"/>
                <w:color w:val="000000"/>
                <w:sz w:val="20"/>
                <w:szCs w:val="24"/>
                <w:lang w:val="en-US" w:eastAsia="zh-CN"/>
              </w:rPr>
              <w:t>17</w:t>
            </w:r>
          </w:p>
        </w:tc>
        <w:tc>
          <w:tcPr>
            <w:tcW w:w="1616" w:type="dxa"/>
            <w:gridSpan w:val="2"/>
            <w:tcBorders>
              <w:top w:val="single" w:color="auto" w:sz="6" w:space="0"/>
              <w:left w:val="single" w:color="auto" w:sz="6" w:space="0"/>
              <w:bottom w:val="single" w:color="auto" w:sz="6" w:space="0"/>
              <w:right w:val="single" w:color="auto" w:sz="6" w:space="0"/>
            </w:tcBorders>
            <w:shd w:val="solid" w:color="FFFFFF" w:fill="auto"/>
            <w:noWrap w:val="0"/>
            <w:vAlign w:val="top"/>
          </w:tcPr>
          <w:p>
            <w:pPr>
              <w:spacing w:beforeLines="0" w:afterLines="0"/>
              <w:jc w:val="center"/>
              <w:rPr>
                <w:rFonts w:hint="eastAsia" w:ascii="微软雅黑 Light" w:hAnsi="微软雅黑 Light" w:eastAsia="微软雅黑 Light"/>
                <w:b/>
                <w:color w:val="000000"/>
                <w:sz w:val="20"/>
                <w:szCs w:val="24"/>
              </w:rPr>
            </w:pPr>
            <w:r>
              <w:rPr>
                <w:rFonts w:hint="eastAsia" w:ascii="微软雅黑 Light" w:hAnsi="微软雅黑 Light" w:eastAsia="微软雅黑 Light"/>
                <w:b/>
                <w:color w:val="000000"/>
                <w:sz w:val="20"/>
                <w:szCs w:val="24"/>
              </w:rPr>
              <w:t>运营决策与分析（BI）</w:t>
            </w:r>
          </w:p>
        </w:tc>
        <w:tc>
          <w:tcPr>
            <w:tcW w:w="2567"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分析平台门户</w:t>
            </w:r>
          </w:p>
        </w:tc>
        <w:tc>
          <w:tcPr>
            <w:tcW w:w="374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 xml:space="preserve">  提供统一的用户分析入口，可自定义菜单权限和数据权限，分配不同的医院角色形成不同的角色入口门户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default" w:ascii="微软雅黑 Light" w:hAnsi="微软雅黑 Light" w:eastAsia="微软雅黑 Light"/>
                <w:color w:val="000000"/>
                <w:sz w:val="20"/>
                <w:szCs w:val="24"/>
                <w:lang w:val="en-US" w:eastAsia="zh-CN"/>
              </w:rPr>
            </w:pPr>
            <w:r>
              <w:rPr>
                <w:rFonts w:hint="eastAsia" w:ascii="微软雅黑 Light" w:hAnsi="微软雅黑 Light" w:eastAsia="微软雅黑 Light"/>
                <w:color w:val="000000"/>
                <w:sz w:val="20"/>
                <w:szCs w:val="24"/>
                <w:lang w:val="en-US" w:eastAsia="zh-CN"/>
              </w:rPr>
              <w:t>18</w:t>
            </w:r>
          </w:p>
        </w:tc>
        <w:tc>
          <w:tcPr>
            <w:tcW w:w="1616" w:type="dxa"/>
            <w:gridSpan w:val="2"/>
            <w:tcBorders>
              <w:top w:val="single" w:color="auto" w:sz="6" w:space="0"/>
              <w:left w:val="single" w:color="auto" w:sz="6" w:space="0"/>
              <w:bottom w:val="single" w:color="auto" w:sz="6" w:space="0"/>
              <w:right w:val="single" w:color="auto" w:sz="6" w:space="0"/>
            </w:tcBorders>
            <w:shd w:val="solid" w:color="FFFFFF" w:fill="auto"/>
            <w:noWrap w:val="0"/>
            <w:vAlign w:val="top"/>
          </w:tcPr>
          <w:p>
            <w:pPr>
              <w:spacing w:beforeLines="0" w:afterLines="0"/>
              <w:jc w:val="center"/>
              <w:rPr>
                <w:rFonts w:hint="eastAsia" w:ascii="微软雅黑 Light" w:hAnsi="微软雅黑 Light" w:eastAsia="微软雅黑 Light"/>
                <w:b/>
                <w:color w:val="000000"/>
                <w:sz w:val="20"/>
                <w:szCs w:val="24"/>
              </w:rPr>
            </w:pPr>
            <w:r>
              <w:rPr>
                <w:rFonts w:hint="eastAsia" w:ascii="微软雅黑 Light" w:hAnsi="微软雅黑 Light" w:eastAsia="微软雅黑 Light"/>
                <w:b/>
                <w:color w:val="000000"/>
                <w:sz w:val="20"/>
                <w:szCs w:val="24"/>
              </w:rPr>
              <w:t>门户集成</w:t>
            </w:r>
          </w:p>
        </w:tc>
        <w:tc>
          <w:tcPr>
            <w:tcW w:w="2567"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统一认证与单点登录系统</w:t>
            </w:r>
          </w:p>
        </w:tc>
        <w:tc>
          <w:tcPr>
            <w:tcW w:w="374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整合各业务系统统一登录入口，按用户角色录入一次工号密码，实现系统切换登录（CA接入另行收费）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37" w:type="dxa"/>
          <w:trHeight w:val="600" w:hRule="atLeast"/>
        </w:trPr>
        <w:tc>
          <w:tcPr>
            <w:tcW w:w="840" w:type="dxa"/>
            <w:tcBorders>
              <w:top w:val="single" w:color="auto" w:sz="6" w:space="0"/>
              <w:left w:val="single" w:color="auto" w:sz="12"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default" w:ascii="微软雅黑 Light" w:hAnsi="微软雅黑 Light" w:eastAsia="微软雅黑 Light"/>
                <w:color w:val="000000"/>
                <w:sz w:val="20"/>
                <w:szCs w:val="24"/>
                <w:lang w:val="en-US" w:eastAsia="zh-CN"/>
              </w:rPr>
            </w:pPr>
            <w:r>
              <w:rPr>
                <w:rFonts w:hint="eastAsia" w:ascii="微软雅黑 Light" w:hAnsi="微软雅黑 Light" w:eastAsia="微软雅黑 Light"/>
                <w:color w:val="000000"/>
                <w:sz w:val="20"/>
                <w:szCs w:val="24"/>
                <w:lang w:val="en-US" w:eastAsia="zh-CN"/>
              </w:rPr>
              <w:t>19</w:t>
            </w:r>
          </w:p>
        </w:tc>
        <w:tc>
          <w:tcPr>
            <w:tcW w:w="1616" w:type="dxa"/>
            <w:gridSpan w:val="2"/>
            <w:tcBorders>
              <w:top w:val="single" w:color="auto" w:sz="6" w:space="0"/>
              <w:left w:val="single" w:color="auto" w:sz="6" w:space="0"/>
              <w:bottom w:val="single" w:color="auto" w:sz="6" w:space="0"/>
              <w:right w:val="single" w:color="auto" w:sz="6" w:space="0"/>
            </w:tcBorders>
            <w:shd w:val="solid" w:color="FFFFFF" w:fill="auto"/>
            <w:noWrap w:val="0"/>
            <w:vAlign w:val="top"/>
          </w:tcPr>
          <w:p>
            <w:pPr>
              <w:spacing w:beforeLines="0" w:afterLines="0"/>
              <w:jc w:val="center"/>
              <w:rPr>
                <w:rFonts w:hint="eastAsia" w:ascii="微软雅黑 Light" w:hAnsi="微软雅黑 Light" w:eastAsia="微软雅黑 Light"/>
                <w:b/>
                <w:color w:val="000000"/>
                <w:sz w:val="20"/>
                <w:szCs w:val="24"/>
              </w:rPr>
            </w:pPr>
          </w:p>
        </w:tc>
        <w:tc>
          <w:tcPr>
            <w:tcW w:w="2567"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智能门户系统</w:t>
            </w:r>
          </w:p>
        </w:tc>
        <w:tc>
          <w:tcPr>
            <w:tcW w:w="3746"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微软雅黑 Light" w:hAnsi="微软雅黑 Light" w:eastAsia="微软雅黑 Light"/>
                <w:color w:val="000000"/>
                <w:sz w:val="20"/>
                <w:szCs w:val="24"/>
              </w:rPr>
            </w:pPr>
            <w:r>
              <w:rPr>
                <w:rFonts w:hint="eastAsia" w:ascii="微软雅黑 Light" w:hAnsi="微软雅黑 Light" w:eastAsia="微软雅黑 Light"/>
                <w:color w:val="000000"/>
                <w:sz w:val="20"/>
                <w:szCs w:val="24"/>
              </w:rPr>
              <w:t>对于不同用户角色及工作任务、危急值、手术、输血、会诊等，整合形成个人门户界面，并支持业务模块的系统功能跳转及信息提醒。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99CC00" w:fill="auto"/>
            <w:noWrap w:val="0"/>
            <w:vAlign w:val="top"/>
          </w:tcPr>
          <w:p>
            <w:pPr>
              <w:spacing w:beforeLines="0" w:afterLines="0"/>
              <w:jc w:val="center"/>
              <w:rPr>
                <w:rFonts w:hint="eastAsia" w:ascii="宋体-简 常规体" w:hAnsi="宋体-简 常规体" w:eastAsia="宋体-简 常规体"/>
                <w:b/>
                <w:color w:val="000000"/>
                <w:sz w:val="22"/>
                <w:szCs w:val="24"/>
              </w:rPr>
            </w:pPr>
            <w:r>
              <w:rPr>
                <w:rFonts w:hint="eastAsia" w:ascii="宋体-简 常规体" w:hAnsi="宋体-简 常规体" w:eastAsia="宋体-简 常规体"/>
                <w:b/>
                <w:color w:val="000000"/>
                <w:sz w:val="22"/>
                <w:szCs w:val="24"/>
              </w:rPr>
              <w:t>主模块</w:t>
            </w: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99CC00" w:fill="auto"/>
            <w:noWrap w:val="0"/>
            <w:vAlign w:val="top"/>
          </w:tcPr>
          <w:p>
            <w:pPr>
              <w:spacing w:beforeLines="0" w:afterLines="0"/>
              <w:jc w:val="left"/>
              <w:rPr>
                <w:rFonts w:hint="eastAsia" w:ascii="宋体-简 常规体" w:hAnsi="宋体-简 常规体" w:eastAsia="宋体-简 常规体"/>
                <w:b/>
                <w:color w:val="000000"/>
                <w:sz w:val="22"/>
                <w:szCs w:val="24"/>
              </w:rPr>
            </w:pPr>
            <w:r>
              <w:rPr>
                <w:rFonts w:hint="eastAsia" w:ascii="宋体-简 常规体" w:hAnsi="宋体-简 常规体" w:eastAsia="宋体-简 常规体"/>
                <w:b/>
                <w:color w:val="000000"/>
                <w:sz w:val="22"/>
                <w:szCs w:val="24"/>
              </w:rPr>
              <w:t>子模块</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99CC00" w:fill="auto"/>
            <w:noWrap w:val="0"/>
            <w:vAlign w:val="top"/>
          </w:tcPr>
          <w:p>
            <w:pPr>
              <w:spacing w:beforeLines="0" w:afterLines="0"/>
              <w:jc w:val="center"/>
              <w:rPr>
                <w:rFonts w:hint="eastAsia" w:ascii="宋体-简 常规体" w:hAnsi="宋体-简 常规体" w:eastAsia="宋体-简 常规体"/>
                <w:b/>
                <w:color w:val="000000"/>
                <w:sz w:val="22"/>
                <w:szCs w:val="24"/>
              </w:rPr>
            </w:pPr>
            <w:r>
              <w:rPr>
                <w:rFonts w:hint="eastAsia" w:ascii="宋体-简 常规体" w:hAnsi="宋体-简 常规体" w:eastAsia="宋体-简 常规体"/>
                <w:b/>
                <w:color w:val="000000"/>
                <w:sz w:val="22"/>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0" w:type="dxa"/>
            <w:gridSpan w:val="2"/>
            <w:tcBorders>
              <w:top w:val="single" w:color="auto" w:sz="6" w:space="0"/>
              <w:left w:val="single" w:color="auto" w:sz="6" w:space="0"/>
              <w:bottom w:val="nil"/>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预检管理</w:t>
            </w: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预检登记</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通过输入患者的基本生命体征、主诉、症状、创伤评估、疼痛评分、GCS评分、AVPU评分、跌倒评分，自动得出患者的分诊等级，并可手动选择预检分级。分诊完成之后选择相应的急诊科室进行就诊。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0" w:type="dxa"/>
            <w:gridSpan w:val="2"/>
            <w:tcBorders>
              <w:top w:val="nil"/>
              <w:left w:val="single" w:color="auto" w:sz="6" w:space="0"/>
              <w:bottom w:val="nil"/>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症状搜索</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可通过拼音快速搜索症状，大大减少查找症状的时间。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nil"/>
              <w:left w:val="single" w:color="auto" w:sz="6" w:space="0"/>
              <w:bottom w:val="nil"/>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第三方智能设备</w:t>
            </w:r>
          </w:p>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数据接入</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支持第三方智能设备如蓝牙耳温枪、血压仪、血氧仪等数据接入，快速完成基本生命体征的数据录入。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0" w:type="dxa"/>
            <w:gridSpan w:val="2"/>
            <w:tcBorders>
              <w:top w:val="nil"/>
              <w:left w:val="single" w:color="auto" w:sz="6" w:space="0"/>
              <w:bottom w:val="nil"/>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刷卡功能支持</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支持对患者的就诊卡、社保卡等刷卡功能。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0" w:type="dxa"/>
            <w:gridSpan w:val="2"/>
            <w:tcBorders>
              <w:top w:val="nil"/>
              <w:left w:val="single" w:color="auto" w:sz="6" w:space="0"/>
              <w:bottom w:val="nil"/>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打印分诊单</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患者分诊完成之后可对分诊基本信息进行打印。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nil"/>
              <w:left w:val="single" w:color="auto" w:sz="6" w:space="0"/>
              <w:bottom w:val="nil"/>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快速患者建档</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针对未挂号或未就诊过的患者，可快速完成患者基本信息的录入（如姓名，性别，出生日期，年龄，联系方式等）。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0" w:type="dxa"/>
            <w:gridSpan w:val="2"/>
            <w:tcBorders>
              <w:top w:val="nil"/>
              <w:left w:val="single" w:color="auto" w:sz="6" w:space="0"/>
              <w:bottom w:val="nil"/>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针对儿童的分诊</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系统具备儿童症状知识库及分诊规则库，快速完成儿童病情的分级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0" w:type="dxa"/>
            <w:gridSpan w:val="2"/>
            <w:tcBorders>
              <w:top w:val="nil"/>
              <w:left w:val="single" w:color="auto" w:sz="6" w:space="0"/>
              <w:bottom w:val="nil"/>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针对孕妇的分诊</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系统具备孕妇症状知识库及分诊规则库，快速完成孕妇病情的分级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nil"/>
              <w:left w:val="single" w:color="auto" w:sz="6" w:space="0"/>
              <w:bottom w:val="nil"/>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预检分诊查询</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预检查询可根据自定义条件设定，查询出急诊科室预检分诊的患者预检信息。可对查询结果导出为EXCEL表格数据。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0" w:type="dxa"/>
            <w:gridSpan w:val="2"/>
            <w:tcBorders>
              <w:top w:val="nil"/>
              <w:left w:val="single" w:color="auto" w:sz="6" w:space="0"/>
              <w:bottom w:val="nil"/>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未分诊查询</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针对已挂号的患者，能查询尚未分诊的患者。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0" w:type="dxa"/>
            <w:gridSpan w:val="2"/>
            <w:tcBorders>
              <w:top w:val="nil"/>
              <w:left w:val="single" w:color="auto" w:sz="6" w:space="0"/>
              <w:bottom w:val="nil"/>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未刷卡查询</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支持已分诊但未挂号的患者查询。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0" w:type="dxa"/>
            <w:gridSpan w:val="2"/>
            <w:tcBorders>
              <w:top w:val="nil"/>
              <w:left w:val="single" w:color="auto" w:sz="6" w:space="0"/>
              <w:bottom w:val="nil"/>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分诊信息修改</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可对已分诊的患者的分诊信息进行修改。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0" w:type="dxa"/>
            <w:gridSpan w:val="2"/>
            <w:tcBorders>
              <w:top w:val="nil"/>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分诊信息删除</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可对已分诊的患者的分诊信息进行删除。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single" w:color="auto" w:sz="6" w:space="0"/>
              <w:left w:val="single" w:color="auto" w:sz="6" w:space="0"/>
              <w:bottom w:val="nil"/>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报表统计</w:t>
            </w: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科室流量统计</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可根据时间范围对急诊科室就诊患者流量进行统计，并可对结果进行打印及导出，同时可以以柱状图的方式展示。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nil"/>
              <w:left w:val="single" w:color="auto" w:sz="6" w:space="0"/>
              <w:bottom w:val="nil"/>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去向流量统计</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可根据时间范围对急诊科室患者去向流量进行统计，并可对结果进行打印及导出，同时可以以柱状图的方式展示。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0" w:type="dxa"/>
            <w:gridSpan w:val="2"/>
            <w:tcBorders>
              <w:top w:val="nil"/>
              <w:left w:val="single" w:color="auto" w:sz="6" w:space="0"/>
              <w:bottom w:val="nil"/>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病情数量统计</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可对患者相关症状进行统计，并可对结果进行打印及导出。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0" w:type="dxa"/>
            <w:gridSpan w:val="2"/>
            <w:tcBorders>
              <w:top w:val="nil"/>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急诊日报表</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查询急诊科室某天就诊患者列表，并可对结果进行打印及导出。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0" w:type="dxa"/>
            <w:gridSpan w:val="2"/>
            <w:tcBorders>
              <w:top w:val="single" w:color="auto" w:sz="6" w:space="0"/>
              <w:left w:val="single" w:color="auto" w:sz="6" w:space="0"/>
              <w:bottom w:val="nil"/>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系统设置</w:t>
            </w: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用户管理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完成急诊分诊用户的新增，修改与删除。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0" w:type="dxa"/>
            <w:gridSpan w:val="2"/>
            <w:tcBorders>
              <w:top w:val="nil"/>
              <w:left w:val="single" w:color="auto" w:sz="6" w:space="0"/>
              <w:bottom w:val="nil"/>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症状管理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可对急诊分诊症状知识库进行维护。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0" w:type="dxa"/>
            <w:gridSpan w:val="2"/>
            <w:tcBorders>
              <w:top w:val="nil"/>
              <w:left w:val="single" w:color="auto" w:sz="6" w:space="0"/>
              <w:bottom w:val="nil"/>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切换用户</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支持使用用户的快速切换。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0" w:type="dxa"/>
            <w:gridSpan w:val="2"/>
            <w:tcBorders>
              <w:top w:val="nil"/>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修改密码</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支持使用用户的密码修改。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99CC00" w:fill="auto"/>
            <w:noWrap w:val="0"/>
            <w:vAlign w:val="top"/>
          </w:tcPr>
          <w:p>
            <w:pPr>
              <w:spacing w:beforeLines="0" w:afterLines="0"/>
              <w:jc w:val="center"/>
              <w:rPr>
                <w:rFonts w:hint="eastAsia" w:ascii="宋体-简 常规体" w:hAnsi="宋体-简 常规体" w:eastAsia="宋体-简 常规体"/>
                <w:b/>
                <w:color w:val="000000"/>
                <w:sz w:val="22"/>
                <w:szCs w:val="24"/>
              </w:rPr>
            </w:pPr>
            <w:r>
              <w:rPr>
                <w:rFonts w:hint="eastAsia" w:ascii="宋体-简 常规体" w:hAnsi="宋体-简 常规体" w:eastAsia="宋体-简 常规体"/>
                <w:b/>
                <w:color w:val="000000"/>
                <w:sz w:val="22"/>
                <w:szCs w:val="24"/>
              </w:rPr>
              <w:t>主模块</w:t>
            </w: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99CC00" w:fill="auto"/>
            <w:noWrap w:val="0"/>
            <w:vAlign w:val="top"/>
          </w:tcPr>
          <w:p>
            <w:pPr>
              <w:spacing w:beforeLines="0" w:afterLines="0"/>
              <w:jc w:val="left"/>
              <w:rPr>
                <w:rFonts w:hint="eastAsia" w:ascii="宋体-简 常规体" w:hAnsi="宋体-简 常规体" w:eastAsia="宋体-简 常规体"/>
                <w:b/>
                <w:color w:val="000000"/>
                <w:sz w:val="22"/>
                <w:szCs w:val="24"/>
              </w:rPr>
            </w:pPr>
            <w:r>
              <w:rPr>
                <w:rFonts w:hint="eastAsia" w:ascii="宋体-简 常规体" w:hAnsi="宋体-简 常规体" w:eastAsia="宋体-简 常规体"/>
                <w:b/>
                <w:color w:val="000000"/>
                <w:sz w:val="22"/>
                <w:szCs w:val="24"/>
              </w:rPr>
              <w:t>子模块</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99CC00" w:fill="auto"/>
            <w:noWrap w:val="0"/>
            <w:vAlign w:val="top"/>
          </w:tcPr>
          <w:p>
            <w:pPr>
              <w:spacing w:beforeLines="0" w:afterLines="0"/>
              <w:jc w:val="center"/>
              <w:rPr>
                <w:rFonts w:hint="eastAsia" w:ascii="宋体-简 常规体" w:hAnsi="宋体-简 常规体" w:eastAsia="宋体-简 常规体"/>
                <w:b/>
                <w:color w:val="000000"/>
                <w:sz w:val="22"/>
                <w:szCs w:val="24"/>
              </w:rPr>
            </w:pPr>
            <w:r>
              <w:rPr>
                <w:rFonts w:hint="eastAsia" w:ascii="宋体-简 常规体" w:hAnsi="宋体-简 常规体" w:eastAsia="宋体-简 常规体"/>
                <w:b/>
                <w:color w:val="000000"/>
                <w:sz w:val="22"/>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系统配置管理</w:t>
            </w: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用户账户管理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支持系统密码强度校验、密码有限期管理、密码输入阀值的控制；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用户权限管理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系统操作人员权限分配管理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科室病区管理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医院科室、病区的添加、删除、设置等功能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床位管理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提供床位编辑功能，对应科室的护士长有床位添加等编辑功能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护理记录维护</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各病区护理记录模板维护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健康教育模板维护</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对健康教育模板的维护管理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文书配置管理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针对结构化文书进行配置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single" w:color="auto" w:sz="6" w:space="0"/>
              <w:left w:val="single" w:color="auto" w:sz="6" w:space="0"/>
              <w:bottom w:val="nil"/>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病人信息</w:t>
            </w: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抢救室、留观室病人信息展示</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显示病人的基本信息，来源，接诊信息，去处等信息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nil"/>
              <w:left w:val="single" w:color="auto" w:sz="6" w:space="0"/>
              <w:bottom w:val="nil"/>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诊断信息</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通过his系统提供的接口，读取病人诊断信息。该信息可用于系统中所有的单据中，用户可根据实际情况做修改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nil"/>
              <w:left w:val="single" w:color="auto" w:sz="6" w:space="0"/>
              <w:bottom w:val="nil"/>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未分配病人获取</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获取不同途径的病人信息：分诊系统，挂号病人，绿色通道病人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nil"/>
              <w:left w:val="single" w:color="auto" w:sz="6" w:space="0"/>
              <w:bottom w:val="nil"/>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读卡</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通过读卡的方式，自动获取本地、分诊系统、his挂号系统的病人信息。自动化的方式减轻护士手工录入数据的工作量。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nil"/>
              <w:left w:val="single" w:color="auto" w:sz="6" w:space="0"/>
              <w:bottom w:val="nil"/>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绿色通道</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医院为急危重症患者提供快捷高效的服务,实现先救治后收费。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nil"/>
              <w:left w:val="single" w:color="auto" w:sz="6" w:space="0"/>
              <w:bottom w:val="nil"/>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卡号关联</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病人未提供医疗卡，通过系统治疗。后提供了医保卡，绑定该病人的医疗信息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nil"/>
              <w:left w:val="single" w:color="auto" w:sz="6" w:space="0"/>
              <w:bottom w:val="nil"/>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患者列表打印</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提供患者列表打印功能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nil"/>
              <w:left w:val="single" w:color="auto" w:sz="6" w:space="0"/>
              <w:bottom w:val="nil"/>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病人腕带打印</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打印病人腕带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nil"/>
              <w:left w:val="single" w:color="auto" w:sz="6" w:space="0"/>
              <w:bottom w:val="nil"/>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历史病人查询</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通过病历号快速查询历史就诊病人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nil"/>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病人在室时间按颜色区分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根据病人在室时间的长短，通过不同的颜色区分显示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病人流转</w:t>
            </w: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滞留时间筛选</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系统自动计算出病人的滞留时间，提供0-48H,48-72H,&gt;72H等选项，筛选符合条件的病人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需处置</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告知护士，某张床位病人即将出院，需要对病床进行清理。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可离院</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告知护士病人的状态，以做相应处理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需转院</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需住院</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死亡</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去向</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由于治疗需要，调整病人的去处：入院，离院，手术室等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病人归档</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将病人信息归档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换床</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调整病人的床位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取消出科</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病人出科后，由于病情变化或其他原因，由返回科室继续治疗。返回后进入未分配病人列表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查询统计</w:t>
            </w: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出科病人查询</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姓名，病历号，性别，年龄，分诊类别，入科时间，出科时间，在室时间，诊断，去向，去向科室等信息，医院可根据实际情况调整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治疗等待时间查询</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查询：姓名，病历号，性别，年龄，分诊类别，接受治疗时间，治疗等待时间，医生响应时间，诊断等信息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病人性质统计</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统计病人的类型：绿色通道病人，自费病人，三无病人，医保病人数据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24H内重返病人</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统计距离上次出科时间&lt;24h的病人。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120收治病人统计</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统计120收治的病人数据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高血压病人统计</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统计高血压病人数据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留观病人统计</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留观病人去向类型等数据统计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医嘱</w:t>
            </w: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新医嘱提醒</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病人有新医嘱时，在病人主界面给出提醒。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标签打印</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打印药物标签，可依据医院格式调整。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药物医嘱拆分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根据原始医嘱，或护士组方，生成可执行的药物标签瓶贴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急诊药物使用核对</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扫描病人腕带和瓶贴的方式，实现5R规则比对，确保用药安全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巡视卡打印</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根据急诊就诊病人的护理等级提供巡视卡打印功能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 xml:space="preserve">医嘱补执行 </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护士对患者用药未能通过PDA执行，在PC端进行补录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医嘱执行单</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支持医嘱执行单查询、打印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单点登录</w:t>
            </w: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pc端</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为方便护士工作，避免在多个系统间频繁切换，系统支持接收第三方系统调用，接收用户名、密码、科室信息后，自动登录系统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pda端</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为方便护士工作，避免护士携带多个pda，系统支持接收第三方系统调用，接收用户名、密码、科室信息后，自动登录系统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检查检验</w:t>
            </w: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检查检验</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支持检查检验电子化申请与结果的调阅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危急值</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与lis等系统对接，读取危急值。并在病人简卡提醒。提供处理措施建议方案。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健康宣教</w:t>
            </w: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健康教育</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针对急诊就诊病人做相应的健康教育，分入院、在院、出院，提供模版导入、打印、预览功能。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交接单</w:t>
            </w: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转运交接单</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急诊转运交接单的录入、删除、修改、打印功能；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生命体征管理</w:t>
            </w: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体征录入</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患者体征信息的床旁实时采集，采集体征信息包括:  体温、脉搏、呼吸、心率、出入液量、血氧饱和度、血压、血糖、身高、疼痛、各种引流管、体重、排便次数等各类住院事件。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体温单</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针对录入的体征信息，按卫生部规定的体温单格式输出，可进行修改、预览、打印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待测提醒</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根据医院的体征测量规则，提醒该测量时机需要测量的病人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体征趋势图</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针对急诊病人，进行较细时间粒度的体温、血压、呼吸的三者趋势线查看。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护理计划</w:t>
            </w: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护理计划</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1、丰富知识库，可按病种勾选，根据所选计划知识库，制定相应的护理处理措施</w:t>
            </w:r>
          </w:p>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2、护理计划新增、修改、执行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病室报告</w:t>
            </w: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交班报告</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录入、修改和查看各病区的交班报告。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记录单</w:t>
            </w: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出入量记录单</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对给定时间范围内的出入量信息进行维护、评估。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急诊病人评估单</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记录病人基本信息、护理查体、生活状态、入院指导以及出院评估。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急诊入院评估</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记录病人基本信息、入院方式、情绪、意识水平、身体状态等。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输血记录单</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对输血情况进行护理记录。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急诊就诊记录单</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记录急诊就诊病人的生命体征、入院方式、院前处置、入院处置等。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急诊护理记录单</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进行护理时间、体温、脉搏、血压、呼吸、吸氧、疼痛、微泵、静脉留置、观察及措施的记录。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急诊科危重病人抢救记录</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记录病人基本信息、病情分级、到达时间、到达方式、医生开始抢救时间、离开抢救室时间、初步诊断、生命体征、主要临床表现、抢救经过。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急诊抢救室护理记录单</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记录病人基本信息、体温、神志、脉搏、呼吸、血压、spo2、瞳孔、输入液及食物、排出物以及病情记录。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急诊抢救患者欠费催缴情况登记表</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记录就诊抢救病人欠费及催缴情况，与住院护士站系统对接。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评估单</w:t>
            </w: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压疮评估</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对可能引发压疮的各项内容进行评估。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跌倒评估</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对可能引发跌倒的各项内容进行评估。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静脉通路评估</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记录静脉通路评估的信息。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 xml:space="preserve">特殊人群评估 </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提供特殊人员的免疫功能，如婴幼儿、青少年、情感或精神混乱者、年老体弱者、终止妊娠者、临床患者的专用评估系统。提供打印、预览功能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留观评估 (留观首次护理记录单)</w:t>
            </w:r>
          </w:p>
        </w:tc>
        <w:tc>
          <w:tcPr>
            <w:tcW w:w="575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提供急诊留观病人的基本信息采集、留观注意事项、心里社会精神评估、康复筛选、营养筛选等，提供打印、预览功能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评分</w:t>
            </w: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BRADEN评分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患者住院期间BRADEN评分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疼痛评分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患者住院期间疼痛评分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跌倒/坠床评分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患者住院期间跌倒/坠床评分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镇静评分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患者住院期间镇静评分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CPIS评分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患者住院期间的感染评分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GLASGOW评分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患者住院期间GLASGOW评分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APACHEII评分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患者住院期间APACHEII评分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WATERLOW评分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患者住院期间WATERLOW评分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STEWARD苏醒评分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苏醒评分患者住院期间的STEWARD 苏醒评分。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吞咽评估</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患者住院期间的吞咽功能评分。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营养评估</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患者住院期间的营养评分。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NORTON评分</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患者住院期间NORTON评分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评分趋势图</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针对不同评分的图形展示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护理评分查询</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查询患者评分异常数据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护理评分汇总（患者）</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汇总患者的所有评分记录。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压疮告知书</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根据压疮评分，提供患者压疮告知书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坠床跌倒告知书</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根据跌倒评分，提供患者坠床跌倒告知书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疼痛告知书</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根据疼痛评分，提供患者疼痛告知书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会诊单</w:t>
            </w: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急诊会诊登记本</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记录急诊就诊病人的会诊记录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8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通知单</w:t>
            </w:r>
          </w:p>
        </w:tc>
        <w:tc>
          <w:tcPr>
            <w:tcW w:w="1950" w:type="dxa"/>
            <w:gridSpan w:val="2"/>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病重病危通知单</w:t>
            </w:r>
          </w:p>
        </w:tc>
        <w:tc>
          <w:tcPr>
            <w:tcW w:w="5750" w:type="dxa"/>
            <w:gridSpan w:val="3"/>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left"/>
              <w:rPr>
                <w:rFonts w:hint="eastAsia" w:ascii="宋体-简 常规体" w:hAnsi="宋体-简 常规体" w:eastAsia="宋体-简 常规体"/>
                <w:color w:val="000000"/>
                <w:sz w:val="22"/>
                <w:szCs w:val="24"/>
              </w:rPr>
            </w:pPr>
            <w:r>
              <w:rPr>
                <w:rFonts w:hint="eastAsia" w:ascii="宋体-简 常规体" w:hAnsi="宋体-简 常规体" w:eastAsia="宋体-简 常规体"/>
                <w:color w:val="000000"/>
                <w:sz w:val="22"/>
                <w:szCs w:val="24"/>
              </w:rPr>
              <w:t>危重病人基本信息、病情、科别、医师、值班护士、住院日期、病危日期</w:t>
            </w:r>
          </w:p>
        </w:tc>
      </w:tr>
    </w:tbl>
    <w:p/>
    <w:p>
      <w:pPr>
        <w:pStyle w:val="4"/>
        <w:rPr>
          <w:rFonts w:ascii="宋体" w:hAnsi="宋体"/>
          <w:szCs w:val="32"/>
        </w:rPr>
      </w:pPr>
      <w:r>
        <w:rPr>
          <w:rFonts w:hint="eastAsia" w:ascii="宋体" w:hAnsi="宋体"/>
          <w:szCs w:val="32"/>
        </w:rPr>
        <w:t>维护期</w:t>
      </w:r>
    </w:p>
    <w:p/>
    <w:p>
      <w:pPr>
        <w:adjustRightInd w:val="0"/>
        <w:snapToGrid w:val="0"/>
        <w:ind w:firstLine="643" w:firstLineChars="200"/>
        <w:rPr>
          <w:rFonts w:ascii="宋体" w:hAnsi="宋体"/>
          <w:b/>
          <w:bCs/>
          <w:sz w:val="32"/>
          <w:szCs w:val="32"/>
        </w:rPr>
      </w:pPr>
      <w:r>
        <w:rPr>
          <w:rFonts w:hint="eastAsia" w:ascii="宋体" w:hAnsi="宋体"/>
          <w:b/>
          <w:bCs/>
          <w:sz w:val="32"/>
          <w:szCs w:val="32"/>
        </w:rPr>
        <w:t>服务周期为一年。</w:t>
      </w:r>
    </w:p>
    <w:p>
      <w:pPr>
        <w:pStyle w:val="4"/>
        <w:rPr>
          <w:rFonts w:ascii="宋体" w:hAnsi="宋体"/>
          <w:szCs w:val="32"/>
        </w:rPr>
      </w:pPr>
      <w:r>
        <w:rPr>
          <w:rFonts w:hint="eastAsia" w:ascii="宋体" w:hAnsi="宋体"/>
          <w:szCs w:val="32"/>
        </w:rPr>
        <w:t>维护服务形式要求</w:t>
      </w:r>
    </w:p>
    <w:p>
      <w:pPr>
        <w:ind w:left="420" w:leftChars="200"/>
      </w:pPr>
      <w:r>
        <w:rPr>
          <w:rFonts w:hint="eastAsia"/>
        </w:rPr>
        <w:t>提供的服务形式要求如下：</w:t>
      </w:r>
    </w:p>
    <w:p>
      <w:pPr>
        <w:ind w:left="420" w:leftChars="200"/>
      </w:pPr>
      <w:r>
        <w:t>1)</w:t>
      </w:r>
      <w:r>
        <w:tab/>
      </w:r>
      <w:r>
        <w:t>在线服务：</w:t>
      </w:r>
      <w:r>
        <w:rPr>
          <w:rFonts w:hint="eastAsia"/>
        </w:rPr>
        <w:t>投标方</w:t>
      </w:r>
      <w:r>
        <w:t>通过即时通信工具（如QQ、微信、邮件等）为用户提供提交问题、查询问题、解决问题的服务。</w:t>
      </w:r>
    </w:p>
    <w:p>
      <w:pPr>
        <w:ind w:left="420" w:leftChars="200"/>
      </w:pPr>
      <w:r>
        <w:t>2)</w:t>
      </w:r>
      <w:r>
        <w:tab/>
      </w:r>
      <w:r>
        <w:t>电话服务：</w:t>
      </w:r>
      <w:r>
        <w:rPr>
          <w:rFonts w:hint="eastAsia"/>
        </w:rPr>
        <w:t>投标方</w:t>
      </w:r>
      <w:r>
        <w:t>通过电话为</w:t>
      </w:r>
      <w:r>
        <w:rPr>
          <w:rFonts w:hint="eastAsia"/>
        </w:rPr>
        <w:t>用户</w:t>
      </w:r>
      <w:r>
        <w:t>解决问题的服务。</w:t>
      </w:r>
    </w:p>
    <w:p>
      <w:pPr>
        <w:ind w:left="420" w:leftChars="200"/>
      </w:pPr>
      <w:r>
        <w:t>3)</w:t>
      </w:r>
      <w:r>
        <w:tab/>
      </w:r>
      <w:r>
        <w:t>远程服务：</w:t>
      </w:r>
      <w:r>
        <w:rPr>
          <w:rFonts w:hint="eastAsia"/>
        </w:rPr>
        <w:t>投标方</w:t>
      </w:r>
      <w:r>
        <w:t>通过远程连接对</w:t>
      </w:r>
      <w:r>
        <w:rPr>
          <w:rFonts w:hint="eastAsia"/>
        </w:rPr>
        <w:t>用户</w:t>
      </w:r>
      <w:r>
        <w:t>的系统进行远程调试并解决问题的服务。</w:t>
      </w:r>
    </w:p>
    <w:p>
      <w:pPr>
        <w:ind w:left="420" w:leftChars="200"/>
      </w:pPr>
      <w:r>
        <w:t>4)</w:t>
      </w:r>
      <w:r>
        <w:tab/>
      </w:r>
      <w:r>
        <w:t>现场服务：</w:t>
      </w:r>
      <w:r>
        <w:rPr>
          <w:rFonts w:hint="eastAsia"/>
        </w:rPr>
        <w:t>投标方</w:t>
      </w:r>
      <w:r>
        <w:t>派遣技术人员到</w:t>
      </w:r>
      <w:r>
        <w:rPr>
          <w:rFonts w:hint="eastAsia"/>
        </w:rPr>
        <w:t>用户</w:t>
      </w:r>
      <w:r>
        <w:t>使用现场解决问题，并对系统进行系统保障的服务。如因人员离职等特殊原因，</w:t>
      </w:r>
      <w:r>
        <w:rPr>
          <w:rFonts w:hint="eastAsia"/>
        </w:rPr>
        <w:t>投标方</w:t>
      </w:r>
      <w:r>
        <w:t>需派遣相对应资质人员更换。</w:t>
      </w:r>
    </w:p>
    <w:p>
      <w:pPr>
        <w:pStyle w:val="4"/>
        <w:rPr>
          <w:rFonts w:ascii="宋体" w:hAnsi="宋体"/>
          <w:szCs w:val="32"/>
        </w:rPr>
      </w:pPr>
      <w:r>
        <w:rPr>
          <w:rFonts w:hint="eastAsia" w:ascii="宋体" w:hAnsi="宋体"/>
          <w:szCs w:val="32"/>
        </w:rPr>
        <w:t>维护服务内容要求</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3613"/>
        <w:gridCol w:w="1158"/>
        <w:gridCol w:w="811"/>
        <w:gridCol w:w="840"/>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vMerge w:val="restart"/>
            <w:vAlign w:val="center"/>
          </w:tcPr>
          <w:p>
            <w:r>
              <w:rPr>
                <w:rFonts w:hint="eastAsia"/>
              </w:rPr>
              <w:t>服务项目</w:t>
            </w:r>
          </w:p>
        </w:tc>
        <w:tc>
          <w:tcPr>
            <w:tcW w:w="1999" w:type="pct"/>
            <w:vMerge w:val="restart"/>
            <w:vAlign w:val="center"/>
          </w:tcPr>
          <w:p>
            <w:r>
              <w:rPr>
                <w:rFonts w:hint="eastAsia"/>
              </w:rPr>
              <w:t>服务内容</w:t>
            </w:r>
          </w:p>
        </w:tc>
        <w:tc>
          <w:tcPr>
            <w:tcW w:w="2167" w:type="pct"/>
            <w:gridSpan w:val="4"/>
            <w:vAlign w:val="center"/>
          </w:tcPr>
          <w:p>
            <w:r>
              <w:rPr>
                <w:rFonts w:hint="eastAsia"/>
              </w:rPr>
              <w:t>服务方式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vMerge w:val="continue"/>
            <w:vAlign w:val="center"/>
          </w:tcPr>
          <w:p/>
        </w:tc>
        <w:tc>
          <w:tcPr>
            <w:tcW w:w="1999" w:type="pct"/>
            <w:vMerge w:val="continue"/>
            <w:vAlign w:val="center"/>
          </w:tcPr>
          <w:p/>
        </w:tc>
        <w:tc>
          <w:tcPr>
            <w:tcW w:w="641" w:type="pct"/>
            <w:vAlign w:val="center"/>
          </w:tcPr>
          <w:p>
            <w:r>
              <w:rPr>
                <w:rFonts w:hint="eastAsia"/>
              </w:rPr>
              <w:t>电话/在线服务</w:t>
            </w:r>
          </w:p>
        </w:tc>
        <w:tc>
          <w:tcPr>
            <w:tcW w:w="449" w:type="pct"/>
            <w:vAlign w:val="center"/>
          </w:tcPr>
          <w:p>
            <w:r>
              <w:rPr>
                <w:rFonts w:hint="eastAsia"/>
              </w:rPr>
              <w:t>远程服务</w:t>
            </w:r>
          </w:p>
        </w:tc>
        <w:tc>
          <w:tcPr>
            <w:tcW w:w="465" w:type="pct"/>
            <w:vAlign w:val="center"/>
          </w:tcPr>
          <w:p>
            <w:r>
              <w:rPr>
                <w:rFonts w:hint="eastAsia"/>
              </w:rPr>
              <w:t>现场服务</w:t>
            </w:r>
          </w:p>
        </w:tc>
        <w:tc>
          <w:tcPr>
            <w:tcW w:w="611" w:type="pct"/>
            <w:vAlign w:val="center"/>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r>
              <w:rPr>
                <w:rFonts w:hint="eastAsia"/>
              </w:rPr>
              <w:t>在线支持</w:t>
            </w:r>
          </w:p>
        </w:tc>
        <w:tc>
          <w:tcPr>
            <w:tcW w:w="1999" w:type="pct"/>
          </w:tcPr>
          <w:p>
            <w:r>
              <w:rPr>
                <w:rFonts w:hint="eastAsia"/>
              </w:rPr>
              <w:t>在线QQ，微信，邮件技术支持</w:t>
            </w:r>
          </w:p>
        </w:tc>
        <w:tc>
          <w:tcPr>
            <w:tcW w:w="641" w:type="pct"/>
          </w:tcPr>
          <w:p>
            <w:r>
              <w:rPr>
                <w:rFonts w:hint="eastAsia" w:ascii="MS Gothic" w:hAnsi="MS Gothic" w:eastAsia="MS Gothic" w:cs="MS Gothic"/>
              </w:rPr>
              <w:t>✓</w:t>
            </w:r>
          </w:p>
        </w:tc>
        <w:tc>
          <w:tcPr>
            <w:tcW w:w="449" w:type="pct"/>
          </w:tcPr>
          <w:p/>
        </w:tc>
        <w:tc>
          <w:tcPr>
            <w:tcW w:w="465" w:type="pct"/>
          </w:tcPr>
          <w:p/>
        </w:tc>
        <w:tc>
          <w:tcPr>
            <w:tcW w:w="611"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r>
              <w:rPr>
                <w:rFonts w:hint="eastAsia"/>
              </w:rPr>
              <w:t>远程维护</w:t>
            </w:r>
          </w:p>
        </w:tc>
        <w:tc>
          <w:tcPr>
            <w:tcW w:w="1999" w:type="pct"/>
          </w:tcPr>
          <w:p>
            <w:r>
              <w:rPr>
                <w:rFonts w:hint="eastAsia"/>
              </w:rPr>
              <w:t>在线远程技术维护</w:t>
            </w:r>
          </w:p>
        </w:tc>
        <w:tc>
          <w:tcPr>
            <w:tcW w:w="641" w:type="pct"/>
          </w:tcPr>
          <w:p>
            <w:r>
              <w:rPr>
                <w:rFonts w:hint="eastAsia" w:ascii="MS Gothic" w:hAnsi="MS Gothic" w:eastAsia="MS Gothic" w:cs="MS Gothic"/>
              </w:rPr>
              <w:t>✓</w:t>
            </w:r>
          </w:p>
        </w:tc>
        <w:tc>
          <w:tcPr>
            <w:tcW w:w="449" w:type="pct"/>
          </w:tcPr>
          <w:p/>
        </w:tc>
        <w:tc>
          <w:tcPr>
            <w:tcW w:w="465" w:type="pct"/>
          </w:tcPr>
          <w:p/>
        </w:tc>
        <w:tc>
          <w:tcPr>
            <w:tcW w:w="611"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r>
              <w:rPr>
                <w:rFonts w:hint="eastAsia"/>
              </w:rPr>
              <w:t>电话支持</w:t>
            </w:r>
          </w:p>
        </w:tc>
        <w:tc>
          <w:tcPr>
            <w:tcW w:w="1999" w:type="pct"/>
          </w:tcPr>
          <w:p>
            <w:r>
              <w:rPr>
                <w:rFonts w:hint="eastAsia"/>
              </w:rPr>
              <w:t>电话支持</w:t>
            </w:r>
          </w:p>
        </w:tc>
        <w:tc>
          <w:tcPr>
            <w:tcW w:w="641" w:type="pct"/>
          </w:tcPr>
          <w:p>
            <w:r>
              <w:rPr>
                <w:rFonts w:hint="eastAsia" w:ascii="MS Gothic" w:hAnsi="MS Gothic" w:eastAsia="MS Gothic" w:cs="MS Gothic"/>
              </w:rPr>
              <w:t>✓</w:t>
            </w:r>
          </w:p>
        </w:tc>
        <w:tc>
          <w:tcPr>
            <w:tcW w:w="449" w:type="pct"/>
          </w:tcPr>
          <w:p/>
        </w:tc>
        <w:tc>
          <w:tcPr>
            <w:tcW w:w="465" w:type="pct"/>
          </w:tcPr>
          <w:p/>
        </w:tc>
        <w:tc>
          <w:tcPr>
            <w:tcW w:w="611"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r>
              <w:rPr>
                <w:rFonts w:hint="eastAsia"/>
              </w:rPr>
              <w:t>月度电话回访</w:t>
            </w:r>
          </w:p>
        </w:tc>
        <w:tc>
          <w:tcPr>
            <w:tcW w:w="1999" w:type="pct"/>
          </w:tcPr>
          <w:p>
            <w:r>
              <w:rPr>
                <w:rFonts w:hint="eastAsia"/>
              </w:rPr>
              <w:t>定期对用户使用情况进行回访</w:t>
            </w:r>
          </w:p>
        </w:tc>
        <w:tc>
          <w:tcPr>
            <w:tcW w:w="641" w:type="pct"/>
          </w:tcPr>
          <w:p/>
        </w:tc>
        <w:tc>
          <w:tcPr>
            <w:tcW w:w="449" w:type="pct"/>
          </w:tcPr>
          <w:p>
            <w:r>
              <w:rPr>
                <w:rFonts w:hint="eastAsia" w:ascii="MS Gothic" w:hAnsi="MS Gothic" w:eastAsia="MS Gothic" w:cs="MS Gothic"/>
              </w:rPr>
              <w:t>✓</w:t>
            </w:r>
          </w:p>
        </w:tc>
        <w:tc>
          <w:tcPr>
            <w:tcW w:w="465" w:type="pct"/>
          </w:tcPr>
          <w:p>
            <w:r>
              <w:rPr>
                <w:rFonts w:hint="eastAsia" w:ascii="MS Gothic" w:hAnsi="MS Gothic" w:eastAsia="MS Gothic" w:cs="MS Gothic"/>
              </w:rPr>
              <w:t>✓</w:t>
            </w:r>
          </w:p>
        </w:tc>
        <w:tc>
          <w:tcPr>
            <w:tcW w:w="611"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r>
              <w:rPr>
                <w:rFonts w:hint="eastAsia"/>
              </w:rPr>
              <w:t>现场服务</w:t>
            </w:r>
          </w:p>
        </w:tc>
        <w:tc>
          <w:tcPr>
            <w:tcW w:w="1999" w:type="pct"/>
          </w:tcPr>
          <w:p>
            <w:r>
              <w:rPr>
                <w:rFonts w:hint="eastAsia"/>
              </w:rPr>
              <w:t>每年提供2-3次现场巡检服务</w:t>
            </w:r>
          </w:p>
        </w:tc>
        <w:tc>
          <w:tcPr>
            <w:tcW w:w="641" w:type="pct"/>
          </w:tcPr>
          <w:p/>
        </w:tc>
        <w:tc>
          <w:tcPr>
            <w:tcW w:w="449" w:type="pct"/>
          </w:tcPr>
          <w:p>
            <w:r>
              <w:rPr>
                <w:rFonts w:hint="eastAsia" w:ascii="MS Gothic" w:hAnsi="MS Gothic" w:eastAsia="MS Gothic" w:cs="MS Gothic"/>
              </w:rPr>
              <w:t>✓</w:t>
            </w:r>
          </w:p>
        </w:tc>
        <w:tc>
          <w:tcPr>
            <w:tcW w:w="465" w:type="pct"/>
          </w:tcPr>
          <w:p>
            <w:r>
              <w:rPr>
                <w:rFonts w:hint="eastAsia" w:ascii="MS Gothic" w:hAnsi="MS Gothic" w:eastAsia="MS Gothic" w:cs="MS Gothic"/>
              </w:rPr>
              <w:t>✓</w:t>
            </w:r>
          </w:p>
        </w:tc>
        <w:tc>
          <w:tcPr>
            <w:tcW w:w="611"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r>
              <w:rPr>
                <w:rFonts w:hint="eastAsia"/>
              </w:rPr>
              <w:t>修改原有功能项</w:t>
            </w:r>
          </w:p>
        </w:tc>
        <w:tc>
          <w:tcPr>
            <w:tcW w:w="1999" w:type="pct"/>
          </w:tcPr>
          <w:p>
            <w:r>
              <w:rPr>
                <w:rFonts w:hint="eastAsia"/>
              </w:rPr>
              <w:t>应甲方要求，修改原实现的功能项和系统问题</w:t>
            </w:r>
          </w:p>
        </w:tc>
        <w:tc>
          <w:tcPr>
            <w:tcW w:w="641" w:type="pct"/>
          </w:tcPr>
          <w:p/>
        </w:tc>
        <w:tc>
          <w:tcPr>
            <w:tcW w:w="449" w:type="pct"/>
          </w:tcPr>
          <w:p>
            <w:r>
              <w:rPr>
                <w:rFonts w:hint="eastAsia" w:ascii="MS Gothic" w:hAnsi="MS Gothic" w:eastAsia="MS Gothic" w:cs="MS Gothic"/>
              </w:rPr>
              <w:t>✓</w:t>
            </w:r>
          </w:p>
        </w:tc>
        <w:tc>
          <w:tcPr>
            <w:tcW w:w="465" w:type="pct"/>
          </w:tcPr>
          <w:p>
            <w:r>
              <w:rPr>
                <w:rFonts w:hint="eastAsia" w:ascii="MS Gothic" w:hAnsi="MS Gothic" w:eastAsia="MS Gothic" w:cs="MS Gothic"/>
              </w:rPr>
              <w:t>✓</w:t>
            </w:r>
          </w:p>
        </w:tc>
        <w:tc>
          <w:tcPr>
            <w:tcW w:w="611"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r>
              <w:rPr>
                <w:rFonts w:hint="eastAsia"/>
              </w:rPr>
              <w:t>系统版本升级</w:t>
            </w:r>
          </w:p>
        </w:tc>
        <w:tc>
          <w:tcPr>
            <w:tcW w:w="1999" w:type="pct"/>
          </w:tcPr>
          <w:p>
            <w:r>
              <w:rPr>
                <w:rFonts w:hint="eastAsia"/>
              </w:rPr>
              <w:t>升级使用的系统及开发版本</w:t>
            </w:r>
          </w:p>
        </w:tc>
        <w:tc>
          <w:tcPr>
            <w:tcW w:w="641" w:type="pct"/>
          </w:tcPr>
          <w:p/>
        </w:tc>
        <w:tc>
          <w:tcPr>
            <w:tcW w:w="449" w:type="pct"/>
          </w:tcPr>
          <w:p>
            <w:r>
              <w:rPr>
                <w:rFonts w:hint="eastAsia" w:ascii="MS Gothic" w:hAnsi="MS Gothic" w:eastAsia="MS Gothic" w:cs="MS Gothic"/>
              </w:rPr>
              <w:t>✓</w:t>
            </w:r>
          </w:p>
        </w:tc>
        <w:tc>
          <w:tcPr>
            <w:tcW w:w="465" w:type="pct"/>
          </w:tcPr>
          <w:p>
            <w:r>
              <w:rPr>
                <w:rFonts w:hint="eastAsia" w:ascii="MS Gothic" w:hAnsi="MS Gothic" w:eastAsia="MS Gothic" w:cs="MS Gothic"/>
              </w:rPr>
              <w:t>✓</w:t>
            </w:r>
          </w:p>
        </w:tc>
        <w:tc>
          <w:tcPr>
            <w:tcW w:w="611"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r>
              <w:rPr>
                <w:rFonts w:hint="eastAsia"/>
              </w:rPr>
              <w:t>系统故障诊断</w:t>
            </w:r>
          </w:p>
        </w:tc>
        <w:tc>
          <w:tcPr>
            <w:tcW w:w="1999" w:type="pct"/>
          </w:tcPr>
          <w:p>
            <w:r>
              <w:rPr>
                <w:rFonts w:hint="eastAsia"/>
              </w:rPr>
              <w:t>诊断系统故障原因，并提出排除故障措施</w:t>
            </w:r>
          </w:p>
        </w:tc>
        <w:tc>
          <w:tcPr>
            <w:tcW w:w="641" w:type="pct"/>
          </w:tcPr>
          <w:p/>
        </w:tc>
        <w:tc>
          <w:tcPr>
            <w:tcW w:w="449" w:type="pct"/>
          </w:tcPr>
          <w:p>
            <w:r>
              <w:rPr>
                <w:rFonts w:hint="eastAsia" w:ascii="MS Gothic" w:hAnsi="MS Gothic" w:eastAsia="MS Gothic" w:cs="MS Gothic"/>
              </w:rPr>
              <w:t>✓</w:t>
            </w:r>
          </w:p>
        </w:tc>
        <w:tc>
          <w:tcPr>
            <w:tcW w:w="465" w:type="pct"/>
          </w:tcPr>
          <w:p>
            <w:r>
              <w:rPr>
                <w:rFonts w:hint="eastAsia" w:ascii="MS Gothic" w:hAnsi="MS Gothic" w:eastAsia="MS Gothic" w:cs="MS Gothic"/>
              </w:rPr>
              <w:t>✓</w:t>
            </w:r>
          </w:p>
        </w:tc>
        <w:tc>
          <w:tcPr>
            <w:tcW w:w="611"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r>
              <w:rPr>
                <w:rFonts w:hint="eastAsia"/>
              </w:rPr>
              <w:t>系统使用培训</w:t>
            </w:r>
          </w:p>
        </w:tc>
        <w:tc>
          <w:tcPr>
            <w:tcW w:w="1999" w:type="pct"/>
          </w:tcPr>
          <w:p>
            <w:r>
              <w:rPr>
                <w:rFonts w:hint="eastAsia"/>
              </w:rPr>
              <w:t>指导临床用户使用系统，提高用户的系统应用能力和工作效率</w:t>
            </w:r>
          </w:p>
        </w:tc>
        <w:tc>
          <w:tcPr>
            <w:tcW w:w="641" w:type="pct"/>
          </w:tcPr>
          <w:p/>
        </w:tc>
        <w:tc>
          <w:tcPr>
            <w:tcW w:w="449" w:type="pct"/>
          </w:tcPr>
          <w:p>
            <w:r>
              <w:rPr>
                <w:rFonts w:hint="eastAsia" w:ascii="MS Gothic" w:hAnsi="MS Gothic" w:eastAsia="MS Gothic" w:cs="MS Gothic"/>
              </w:rPr>
              <w:t>✓</w:t>
            </w:r>
          </w:p>
        </w:tc>
        <w:tc>
          <w:tcPr>
            <w:tcW w:w="465" w:type="pct"/>
          </w:tcPr>
          <w:p>
            <w:r>
              <w:rPr>
                <w:rFonts w:hint="eastAsia" w:ascii="MS Gothic" w:hAnsi="MS Gothic" w:eastAsia="MS Gothic" w:cs="MS Gothic"/>
              </w:rPr>
              <w:t>✓</w:t>
            </w:r>
          </w:p>
        </w:tc>
        <w:tc>
          <w:tcPr>
            <w:tcW w:w="611"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r>
              <w:rPr>
                <w:rFonts w:hint="eastAsia"/>
              </w:rPr>
              <w:t>系统维护培训</w:t>
            </w:r>
          </w:p>
        </w:tc>
        <w:tc>
          <w:tcPr>
            <w:tcW w:w="1999" w:type="pct"/>
          </w:tcPr>
          <w:p>
            <w:r>
              <w:rPr>
                <w:rFonts w:hint="eastAsia"/>
              </w:rPr>
              <w:t>指导信息科进行系统日常维护</w:t>
            </w:r>
          </w:p>
        </w:tc>
        <w:tc>
          <w:tcPr>
            <w:tcW w:w="641" w:type="pct"/>
          </w:tcPr>
          <w:p>
            <w:r>
              <w:rPr>
                <w:rFonts w:hint="eastAsia" w:ascii="MS Gothic" w:hAnsi="MS Gothic" w:eastAsia="MS Gothic" w:cs="MS Gothic"/>
              </w:rPr>
              <w:t>✓</w:t>
            </w:r>
          </w:p>
        </w:tc>
        <w:tc>
          <w:tcPr>
            <w:tcW w:w="449" w:type="pct"/>
          </w:tcPr>
          <w:p>
            <w:r>
              <w:rPr>
                <w:rFonts w:hint="eastAsia" w:ascii="MS Gothic" w:hAnsi="MS Gothic" w:eastAsia="MS Gothic" w:cs="MS Gothic"/>
              </w:rPr>
              <w:t>✓</w:t>
            </w:r>
          </w:p>
        </w:tc>
        <w:tc>
          <w:tcPr>
            <w:tcW w:w="465" w:type="pct"/>
          </w:tcPr>
          <w:p>
            <w:r>
              <w:rPr>
                <w:rFonts w:hint="eastAsia" w:ascii="MS Gothic" w:hAnsi="MS Gothic" w:eastAsia="MS Gothic" w:cs="MS Gothic"/>
              </w:rPr>
              <w:t>✓</w:t>
            </w:r>
          </w:p>
        </w:tc>
        <w:tc>
          <w:tcPr>
            <w:tcW w:w="611"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r>
              <w:rPr>
                <w:rFonts w:hint="eastAsia"/>
              </w:rPr>
              <w:t>系统软件安装</w:t>
            </w:r>
          </w:p>
        </w:tc>
        <w:tc>
          <w:tcPr>
            <w:tcW w:w="1999" w:type="pct"/>
          </w:tcPr>
          <w:p>
            <w:r>
              <w:rPr>
                <w:rFonts w:hint="eastAsia"/>
              </w:rPr>
              <w:t>为甲方安装有效授权的客户端软件</w:t>
            </w:r>
          </w:p>
        </w:tc>
        <w:tc>
          <w:tcPr>
            <w:tcW w:w="641" w:type="pct"/>
          </w:tcPr>
          <w:p>
            <w:r>
              <w:rPr>
                <w:rFonts w:hint="eastAsia" w:ascii="MS Gothic" w:hAnsi="MS Gothic" w:eastAsia="MS Gothic" w:cs="MS Gothic"/>
              </w:rPr>
              <w:t>✓</w:t>
            </w:r>
          </w:p>
        </w:tc>
        <w:tc>
          <w:tcPr>
            <w:tcW w:w="449" w:type="pct"/>
          </w:tcPr>
          <w:p>
            <w:r>
              <w:rPr>
                <w:rFonts w:hint="eastAsia" w:ascii="MS Gothic" w:hAnsi="MS Gothic" w:eastAsia="MS Gothic" w:cs="MS Gothic"/>
              </w:rPr>
              <w:t>✓</w:t>
            </w:r>
          </w:p>
        </w:tc>
        <w:tc>
          <w:tcPr>
            <w:tcW w:w="465" w:type="pct"/>
          </w:tcPr>
          <w:p>
            <w:r>
              <w:rPr>
                <w:rFonts w:hint="eastAsia" w:ascii="MS Gothic" w:hAnsi="MS Gothic" w:eastAsia="MS Gothic" w:cs="MS Gothic"/>
              </w:rPr>
              <w:t>✓</w:t>
            </w:r>
          </w:p>
        </w:tc>
        <w:tc>
          <w:tcPr>
            <w:tcW w:w="611"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r>
              <w:rPr>
                <w:rFonts w:hint="eastAsia"/>
              </w:rPr>
              <w:t>数据修正</w:t>
            </w:r>
          </w:p>
        </w:tc>
        <w:tc>
          <w:tcPr>
            <w:tcW w:w="1999" w:type="pct"/>
          </w:tcPr>
          <w:p>
            <w:r>
              <w:rPr>
                <w:rFonts w:hint="eastAsia"/>
              </w:rPr>
              <w:t>查找系统中出错的数据，并进行修正。数据的错误常见于操作失误，死机、断电等意外造成的数据错误。</w:t>
            </w:r>
          </w:p>
        </w:tc>
        <w:tc>
          <w:tcPr>
            <w:tcW w:w="641" w:type="pct"/>
          </w:tcPr>
          <w:p>
            <w:r>
              <w:rPr>
                <w:rFonts w:hint="eastAsia" w:ascii="MS Gothic" w:hAnsi="MS Gothic" w:eastAsia="MS Gothic" w:cs="MS Gothic"/>
              </w:rPr>
              <w:t>✓</w:t>
            </w:r>
          </w:p>
        </w:tc>
        <w:tc>
          <w:tcPr>
            <w:tcW w:w="449" w:type="pct"/>
          </w:tcPr>
          <w:p>
            <w:r>
              <w:rPr>
                <w:rFonts w:hint="eastAsia" w:ascii="MS Gothic" w:hAnsi="MS Gothic" w:eastAsia="MS Gothic" w:cs="MS Gothic"/>
              </w:rPr>
              <w:t>✓</w:t>
            </w:r>
          </w:p>
        </w:tc>
        <w:tc>
          <w:tcPr>
            <w:tcW w:w="465" w:type="pct"/>
          </w:tcPr>
          <w:p>
            <w:r>
              <w:rPr>
                <w:rFonts w:hint="eastAsia" w:ascii="MS Gothic" w:hAnsi="MS Gothic" w:eastAsia="MS Gothic" w:cs="MS Gothic"/>
              </w:rPr>
              <w:t>✓</w:t>
            </w:r>
          </w:p>
        </w:tc>
        <w:tc>
          <w:tcPr>
            <w:tcW w:w="611"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r>
              <w:rPr>
                <w:rFonts w:hint="eastAsia"/>
              </w:rPr>
              <w:t>数据备份</w:t>
            </w:r>
          </w:p>
        </w:tc>
        <w:tc>
          <w:tcPr>
            <w:tcW w:w="1999" w:type="pct"/>
          </w:tcPr>
          <w:p>
            <w:r>
              <w:rPr>
                <w:rFonts w:hint="eastAsia"/>
              </w:rPr>
              <w:t>备份系统数据，确保系统数据安全有效。</w:t>
            </w:r>
          </w:p>
        </w:tc>
        <w:tc>
          <w:tcPr>
            <w:tcW w:w="641" w:type="pct"/>
          </w:tcPr>
          <w:p>
            <w:r>
              <w:rPr>
                <w:rFonts w:hint="eastAsia" w:ascii="MS Gothic" w:hAnsi="MS Gothic" w:eastAsia="MS Gothic" w:cs="MS Gothic"/>
              </w:rPr>
              <w:t>✓</w:t>
            </w:r>
          </w:p>
        </w:tc>
        <w:tc>
          <w:tcPr>
            <w:tcW w:w="449" w:type="pct"/>
          </w:tcPr>
          <w:p>
            <w:r>
              <w:rPr>
                <w:rFonts w:hint="eastAsia" w:ascii="MS Gothic" w:hAnsi="MS Gothic" w:eastAsia="MS Gothic" w:cs="MS Gothic"/>
              </w:rPr>
              <w:t>✓</w:t>
            </w:r>
          </w:p>
        </w:tc>
        <w:tc>
          <w:tcPr>
            <w:tcW w:w="465" w:type="pct"/>
          </w:tcPr>
          <w:p>
            <w:r>
              <w:rPr>
                <w:rFonts w:hint="eastAsia" w:ascii="MS Gothic" w:hAnsi="MS Gothic" w:eastAsia="MS Gothic" w:cs="MS Gothic"/>
              </w:rPr>
              <w:t>✓</w:t>
            </w:r>
          </w:p>
        </w:tc>
        <w:tc>
          <w:tcPr>
            <w:tcW w:w="611"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r>
              <w:rPr>
                <w:rFonts w:hint="eastAsia"/>
              </w:rPr>
              <w:t>数据恢复</w:t>
            </w:r>
          </w:p>
        </w:tc>
        <w:tc>
          <w:tcPr>
            <w:tcW w:w="1999" w:type="pct"/>
          </w:tcPr>
          <w:p>
            <w:r>
              <w:rPr>
                <w:rFonts w:hint="eastAsia"/>
              </w:rPr>
              <w:t>恢复有效的备份系统数据。</w:t>
            </w:r>
          </w:p>
        </w:tc>
        <w:tc>
          <w:tcPr>
            <w:tcW w:w="641" w:type="pct"/>
          </w:tcPr>
          <w:p>
            <w:r>
              <w:rPr>
                <w:rFonts w:hint="eastAsia" w:ascii="MS Gothic" w:hAnsi="MS Gothic" w:eastAsia="MS Gothic" w:cs="MS Gothic"/>
              </w:rPr>
              <w:t>✓</w:t>
            </w:r>
          </w:p>
        </w:tc>
        <w:tc>
          <w:tcPr>
            <w:tcW w:w="449" w:type="pct"/>
          </w:tcPr>
          <w:p>
            <w:r>
              <w:rPr>
                <w:rFonts w:hint="eastAsia" w:ascii="MS Gothic" w:hAnsi="MS Gothic" w:eastAsia="MS Gothic" w:cs="MS Gothic"/>
              </w:rPr>
              <w:t>✓</w:t>
            </w:r>
          </w:p>
        </w:tc>
        <w:tc>
          <w:tcPr>
            <w:tcW w:w="465" w:type="pct"/>
          </w:tcPr>
          <w:p>
            <w:r>
              <w:rPr>
                <w:rFonts w:hint="eastAsia" w:ascii="MS Gothic" w:hAnsi="MS Gothic" w:eastAsia="MS Gothic" w:cs="MS Gothic"/>
              </w:rPr>
              <w:t>✓</w:t>
            </w:r>
          </w:p>
        </w:tc>
        <w:tc>
          <w:tcPr>
            <w:tcW w:w="611"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tcPr>
          <w:p>
            <w:r>
              <w:rPr>
                <w:rFonts w:hint="eastAsia"/>
              </w:rPr>
              <w:t>系统接口优化</w:t>
            </w:r>
          </w:p>
        </w:tc>
        <w:tc>
          <w:tcPr>
            <w:tcW w:w="1999" w:type="pct"/>
          </w:tcPr>
          <w:p>
            <w:r>
              <w:rPr>
                <w:rFonts w:hint="eastAsia"/>
              </w:rPr>
              <w:t>对系统接口进行检测，提出优化系统性能方案</w:t>
            </w:r>
          </w:p>
        </w:tc>
        <w:tc>
          <w:tcPr>
            <w:tcW w:w="641" w:type="pct"/>
          </w:tcPr>
          <w:p>
            <w:r>
              <w:rPr>
                <w:rFonts w:hint="eastAsia" w:ascii="MS Gothic" w:hAnsi="MS Gothic" w:eastAsia="MS Gothic" w:cs="MS Gothic"/>
              </w:rPr>
              <w:t>✓</w:t>
            </w:r>
          </w:p>
        </w:tc>
        <w:tc>
          <w:tcPr>
            <w:tcW w:w="449" w:type="pct"/>
          </w:tcPr>
          <w:p>
            <w:r>
              <w:rPr>
                <w:rFonts w:hint="eastAsia" w:ascii="MS Gothic" w:hAnsi="MS Gothic" w:eastAsia="MS Gothic" w:cs="MS Gothic"/>
              </w:rPr>
              <w:t>✓</w:t>
            </w:r>
          </w:p>
        </w:tc>
        <w:tc>
          <w:tcPr>
            <w:tcW w:w="465" w:type="pct"/>
          </w:tcPr>
          <w:p>
            <w:r>
              <w:rPr>
                <w:rFonts w:hint="eastAsia" w:ascii="MS Gothic" w:hAnsi="MS Gothic" w:eastAsia="MS Gothic" w:cs="MS Gothic"/>
              </w:rPr>
              <w:t>✓</w:t>
            </w:r>
          </w:p>
        </w:tc>
        <w:tc>
          <w:tcPr>
            <w:tcW w:w="611" w:type="pct"/>
          </w:tcPr>
          <w:p/>
        </w:tc>
      </w:tr>
    </w:tbl>
    <w:p>
      <w:pPr>
        <w:rPr>
          <w:rFonts w:ascii="宋体" w:hAnsi="宋体"/>
          <w:sz w:val="32"/>
          <w:szCs w:val="32"/>
        </w:rPr>
      </w:pPr>
    </w:p>
    <w:p>
      <w:pPr>
        <w:pStyle w:val="4"/>
        <w:rPr>
          <w:rFonts w:ascii="宋体" w:hAnsi="宋体"/>
          <w:szCs w:val="32"/>
        </w:rPr>
      </w:pPr>
      <w:r>
        <w:rPr>
          <w:rFonts w:hint="eastAsia" w:ascii="宋体" w:hAnsi="宋体"/>
          <w:szCs w:val="32"/>
        </w:rPr>
        <w:t>维护</w:t>
      </w:r>
      <w:r>
        <w:rPr>
          <w:rFonts w:ascii="宋体" w:hAnsi="宋体"/>
          <w:szCs w:val="32"/>
        </w:rPr>
        <w:t>服务技术要求</w:t>
      </w:r>
    </w:p>
    <w:p>
      <w:pPr>
        <w:ind w:left="420" w:leftChars="200"/>
      </w:pPr>
      <w:r>
        <w:t>- 系统登录成功率≥99.9%，登录响应迅速，跳转流畅。</w:t>
      </w:r>
    </w:p>
    <w:p>
      <w:pPr>
        <w:ind w:left="420" w:leftChars="200"/>
      </w:pPr>
      <w:r>
        <w:t>- 故障发生后30分钟内响应，快速恢复登录功能，保障业务不中断。</w:t>
      </w:r>
    </w:p>
    <w:p>
      <w:pPr>
        <w:ind w:left="420" w:leftChars="200"/>
      </w:pPr>
      <w:r>
        <w:t>- 故障响应速度快于普通系统，</w:t>
      </w:r>
      <w:r>
        <w:rPr>
          <w:rFonts w:hint="eastAsia" w:ascii="宋体" w:hAnsi="宋体" w:cs="宋体"/>
        </w:rPr>
        <w:t>Ⅰ</w:t>
      </w:r>
      <w:r>
        <w:t>级故障立即处置，4小时内到场解决。</w:t>
      </w:r>
    </w:p>
    <w:p>
      <w:pPr>
        <w:pStyle w:val="2"/>
        <w:spacing w:before="312"/>
        <w:rPr>
          <w:rFonts w:hint="eastAsia"/>
        </w:rPr>
      </w:pPr>
      <w:r>
        <w:rPr>
          <w:rFonts w:hint="eastAsia"/>
        </w:rPr>
        <w:t>商务条款</w:t>
      </w:r>
    </w:p>
    <w:p>
      <w:pPr>
        <w:numPr>
          <w:ilvl w:val="0"/>
          <w:numId w:val="3"/>
        </w:numPr>
        <w:ind w:left="420" w:leftChars="200"/>
        <w:rPr>
          <w:rFonts w:ascii="宋体" w:hAnsi="宋体"/>
        </w:rPr>
      </w:pPr>
      <w:r>
        <w:rPr>
          <w:rFonts w:hint="eastAsia" w:ascii="宋体" w:hAnsi="宋体"/>
        </w:rPr>
        <w:t>本次项目中涉及的系统软件须至少提供原厂一年质保服务</w:t>
      </w:r>
      <w:r>
        <w:rPr>
          <w:rFonts w:hint="eastAsia" w:ascii="宋体" w:hAnsi="宋体" w:cs="宋体"/>
        </w:rPr>
        <w:t>（自项目验收之日起）</w:t>
      </w:r>
      <w:r>
        <w:rPr>
          <w:rFonts w:hint="eastAsia" w:ascii="宋体" w:hAnsi="宋体"/>
        </w:rPr>
        <w:t>。</w:t>
      </w:r>
    </w:p>
    <w:p>
      <w:pPr>
        <w:numPr>
          <w:ilvl w:val="0"/>
          <w:numId w:val="3"/>
        </w:numPr>
        <w:ind w:left="420" w:leftChars="200"/>
        <w:rPr>
          <w:rFonts w:ascii="宋体" w:hAnsi="宋体"/>
        </w:rPr>
      </w:pPr>
      <w:r>
        <w:rPr>
          <w:rFonts w:hint="eastAsia" w:ascii="宋体" w:hAnsi="宋体"/>
        </w:rPr>
        <w:t>报价人负责项目相关设备软件的安装、调试及上线，招标单位予以配合。</w:t>
      </w:r>
    </w:p>
    <w:p>
      <w:pPr>
        <w:numPr>
          <w:ilvl w:val="0"/>
          <w:numId w:val="3"/>
        </w:numPr>
        <w:ind w:left="420" w:leftChars="200"/>
        <w:rPr>
          <w:rFonts w:ascii="宋体" w:hAnsi="宋体"/>
        </w:rPr>
      </w:pPr>
      <w:r>
        <w:rPr>
          <w:rFonts w:hint="eastAsia" w:ascii="宋体" w:hAnsi="宋体"/>
        </w:rPr>
        <w:t>报价人负责与医院现有系统的对接，但不承担第三方收取的因对接工作收取的接口费。</w:t>
      </w:r>
    </w:p>
    <w:p>
      <w:pPr>
        <w:numPr>
          <w:ilvl w:val="0"/>
          <w:numId w:val="3"/>
        </w:numPr>
        <w:ind w:left="420" w:leftChars="200"/>
        <w:rPr>
          <w:rFonts w:ascii="宋体" w:hAnsi="宋体"/>
        </w:rPr>
      </w:pPr>
      <w:r>
        <w:rPr>
          <w:rFonts w:hint="eastAsia" w:ascii="宋体" w:hAnsi="宋体"/>
        </w:rPr>
        <w:t>报价人有良好的售后服务能力，需提供全年7天24小时服务（电话、远程或现场），并在接到招标人通知后24小时内到达现场。项目验收合格后，每年不低于2次的例行维护及巡检。</w:t>
      </w:r>
    </w:p>
    <w:p>
      <w:pPr>
        <w:numPr>
          <w:ilvl w:val="0"/>
          <w:numId w:val="3"/>
        </w:numPr>
        <w:ind w:left="420" w:leftChars="200"/>
        <w:rPr>
          <w:rFonts w:ascii="宋体" w:hAnsi="宋体"/>
        </w:rPr>
      </w:pPr>
      <w:r>
        <w:rPr>
          <w:rFonts w:hint="eastAsia" w:ascii="宋体" w:hAnsi="宋体"/>
        </w:rPr>
        <w:t>培训：根据医院的情况制定相关培训方案，课程设置等。所有的培训费用必须计入报价总价。</w:t>
      </w:r>
    </w:p>
    <w:p>
      <w:pPr>
        <w:pStyle w:val="2"/>
        <w:spacing w:before="312"/>
        <w:rPr>
          <w:rFonts w:hint="eastAsia"/>
        </w:rPr>
      </w:pPr>
      <w:r>
        <w:rPr>
          <w:rFonts w:hint="eastAsia"/>
        </w:rPr>
        <w:t>评分标准</w:t>
      </w:r>
    </w:p>
    <w:p>
      <w:pPr>
        <w:pStyle w:val="3"/>
        <w:rPr>
          <w:rFonts w:ascii="宋体" w:hAnsi="宋体"/>
        </w:rPr>
      </w:pPr>
      <w:r>
        <w:rPr>
          <w:rFonts w:hint="eastAsia" w:ascii="宋体" w:hAnsi="宋体"/>
        </w:rPr>
        <w:t>评标方法</w:t>
      </w:r>
    </w:p>
    <w:p>
      <w:pPr>
        <w:ind w:firstLine="480"/>
        <w:rPr>
          <w:rFonts w:ascii="宋体" w:hAnsi="宋体"/>
        </w:rPr>
      </w:pPr>
      <w:r>
        <w:rPr>
          <w:rFonts w:hint="eastAsia" w:ascii="宋体" w:hAnsi="宋体"/>
        </w:rPr>
        <w:t>本次评标采用综合评分法，报价文件满足招标文件全部实质性要求且按照评审因素的量化指标评审得分最高的报价人为中标候选人。</w:t>
      </w:r>
    </w:p>
    <w:p>
      <w:pPr>
        <w:pStyle w:val="3"/>
        <w:rPr>
          <w:rFonts w:ascii="宋体" w:hAnsi="宋体"/>
        </w:rPr>
      </w:pPr>
      <w:r>
        <w:rPr>
          <w:rFonts w:hint="eastAsia" w:ascii="宋体" w:hAnsi="宋体"/>
        </w:rPr>
        <w:t>评分标准</w:t>
      </w:r>
    </w:p>
    <w:p>
      <w:pPr>
        <w:ind w:firstLine="480"/>
        <w:rPr>
          <w:rFonts w:ascii="宋体" w:hAnsi="宋体"/>
        </w:rPr>
      </w:pPr>
      <w:r>
        <w:rPr>
          <w:rFonts w:hint="eastAsia" w:ascii="宋体" w:hAnsi="宋体"/>
        </w:rPr>
        <w:t>共100分，其中商务技术分90分，价格分10分。评分依下述所列为评标打分依据。</w:t>
      </w:r>
    </w:p>
    <w:p>
      <w:pPr>
        <w:pStyle w:val="4"/>
        <w:rPr>
          <w:rFonts w:ascii="宋体" w:hAnsi="宋体"/>
        </w:rPr>
      </w:pPr>
      <w:r>
        <w:rPr>
          <w:rFonts w:hint="eastAsia" w:ascii="宋体" w:hAnsi="宋体"/>
        </w:rPr>
        <w:t>价格分10分</w:t>
      </w:r>
    </w:p>
    <w:p>
      <w:pPr>
        <w:ind w:firstLine="480"/>
        <w:rPr>
          <w:rFonts w:ascii="宋体" w:hAnsi="宋体"/>
        </w:rPr>
      </w:pPr>
      <w:r>
        <w:rPr>
          <w:rFonts w:hint="eastAsia" w:ascii="宋体" w:hAnsi="宋体"/>
        </w:rPr>
        <w:t>不超过采购预算，满足比选文件要求且有效最终评审价格最低的为基准价。</w:t>
      </w:r>
    </w:p>
    <w:p>
      <w:pPr>
        <w:ind w:firstLine="480"/>
        <w:rPr>
          <w:rFonts w:ascii="宋体" w:hAnsi="宋体"/>
        </w:rPr>
      </w:pPr>
      <w:r>
        <w:rPr>
          <w:rFonts w:hint="eastAsia" w:ascii="宋体" w:hAnsi="宋体"/>
        </w:rPr>
        <w:t>各报价人的价格分统一按照下列公式计算：</w:t>
      </w:r>
    </w:p>
    <w:p>
      <w:pPr>
        <w:ind w:firstLine="482"/>
        <w:rPr>
          <w:rFonts w:ascii="宋体" w:hAnsi="宋体"/>
          <w:b/>
        </w:rPr>
      </w:pPr>
      <w:r>
        <w:rPr>
          <w:rFonts w:hint="eastAsia" w:ascii="宋体" w:hAnsi="宋体"/>
        </w:rPr>
        <w:t>价格部分得分=基准价/各报价人最终评审价格×10。</w:t>
      </w:r>
    </w:p>
    <w:p>
      <w:pPr>
        <w:pStyle w:val="4"/>
        <w:rPr>
          <w:rFonts w:ascii="宋体" w:hAnsi="宋体"/>
        </w:rPr>
      </w:pPr>
      <w:r>
        <w:rPr>
          <w:rFonts w:hint="eastAsia" w:ascii="宋体" w:hAnsi="宋体"/>
        </w:rPr>
        <w:t>商务技术分9</w:t>
      </w:r>
      <w:r>
        <w:rPr>
          <w:rFonts w:ascii="宋体" w:hAnsi="宋体"/>
        </w:rPr>
        <w:t>0</w:t>
      </w:r>
      <w:r>
        <w:rPr>
          <w:rFonts w:hint="eastAsia" w:ascii="宋体" w:hAnsi="宋体"/>
        </w:rPr>
        <w:t>分</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6558"/>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693" w:type="pct"/>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评分项目</w:t>
            </w:r>
          </w:p>
        </w:tc>
        <w:tc>
          <w:tcPr>
            <w:tcW w:w="3629" w:type="pct"/>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评标要点及说明</w:t>
            </w:r>
          </w:p>
        </w:tc>
        <w:tc>
          <w:tcPr>
            <w:tcW w:w="678" w:type="pct"/>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693" w:type="pct"/>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企业及产品认证</w:t>
            </w:r>
          </w:p>
        </w:tc>
        <w:tc>
          <w:tcPr>
            <w:tcW w:w="3629" w:type="pct"/>
            <w:shd w:val="clear" w:color="auto" w:fill="auto"/>
            <w:vAlign w:val="center"/>
          </w:tcPr>
          <w:p>
            <w:pPr>
              <w:widowControl/>
              <w:textAlignment w:val="center"/>
              <w:rPr>
                <w:rFonts w:ascii="宋体" w:hAnsi="宋体" w:cs="宋体"/>
                <w:color w:val="000000"/>
                <w:kern w:val="0"/>
                <w:lang w:bidi="ar"/>
              </w:rPr>
            </w:pPr>
            <w:r>
              <w:rPr>
                <w:rFonts w:hint="eastAsia" w:ascii="宋体" w:hAnsi="宋体" w:cs="宋体"/>
                <w:color w:val="000000"/>
                <w:kern w:val="0"/>
                <w:lang w:bidi="ar"/>
              </w:rPr>
              <w:t>报价人或原厂厂家具有有效的：</w:t>
            </w:r>
          </w:p>
          <w:p>
            <w:pPr>
              <w:widowControl/>
              <w:textAlignment w:val="center"/>
              <w:rPr>
                <w:rFonts w:hint="eastAsia" w:ascii="宋体" w:hAnsi="宋体" w:cs="宋体"/>
                <w:color w:val="000000"/>
              </w:rPr>
            </w:pPr>
            <w:r>
              <w:rPr>
                <w:rFonts w:hint="eastAsia" w:ascii="宋体" w:hAnsi="宋体" w:cs="宋体"/>
                <w:color w:val="000000"/>
              </w:rPr>
              <w:t>（1）质量管理体系认证证书，得2分；</w:t>
            </w:r>
          </w:p>
          <w:p>
            <w:pPr>
              <w:widowControl/>
              <w:textAlignment w:val="center"/>
              <w:rPr>
                <w:rFonts w:hint="eastAsia" w:ascii="宋体" w:hAnsi="宋体" w:cs="宋体"/>
                <w:color w:val="000000"/>
              </w:rPr>
            </w:pPr>
            <w:r>
              <w:rPr>
                <w:rFonts w:hint="eastAsia" w:ascii="宋体" w:hAnsi="宋体" w:cs="宋体"/>
                <w:color w:val="000000"/>
              </w:rPr>
              <w:t>（2）信息技术服务管理体系认证证书，得2分；</w:t>
            </w:r>
          </w:p>
          <w:p>
            <w:pPr>
              <w:widowControl/>
              <w:textAlignment w:val="center"/>
              <w:rPr>
                <w:rFonts w:hint="eastAsia" w:ascii="宋体" w:hAnsi="宋体" w:cs="宋体"/>
                <w:color w:val="000000"/>
              </w:rPr>
            </w:pPr>
            <w:r>
              <w:rPr>
                <w:rFonts w:hint="eastAsia" w:ascii="宋体" w:hAnsi="宋体" w:cs="宋体"/>
                <w:color w:val="000000"/>
              </w:rPr>
              <w:t>（3）信息安全管理体系认证证书，得2分；</w:t>
            </w:r>
          </w:p>
          <w:p>
            <w:pPr>
              <w:widowControl/>
              <w:textAlignment w:val="center"/>
              <w:rPr>
                <w:rFonts w:hint="eastAsia" w:ascii="宋体" w:hAnsi="宋体" w:cs="宋体"/>
                <w:color w:val="000000"/>
              </w:rPr>
            </w:pPr>
            <w:r>
              <w:rPr>
                <w:rFonts w:hint="eastAsia" w:ascii="宋体" w:hAnsi="宋体" w:cs="宋体"/>
                <w:color w:val="000000"/>
              </w:rPr>
              <w:t>（4）信息技术服务标准符合性证书（三级或以上），得2分。</w:t>
            </w:r>
          </w:p>
          <w:p>
            <w:pPr>
              <w:widowControl/>
              <w:textAlignment w:val="center"/>
              <w:rPr>
                <w:rFonts w:hint="eastAsia" w:ascii="宋体" w:hAnsi="宋体" w:cs="宋体"/>
                <w:color w:val="000000"/>
              </w:rPr>
            </w:pPr>
            <w:r>
              <w:rPr>
                <w:rFonts w:hint="eastAsia" w:ascii="宋体" w:hAnsi="宋体" w:cs="宋体"/>
                <w:color w:val="000000"/>
              </w:rPr>
              <w:t>（5）隐私信息管理体系认证证书，得2分；</w:t>
            </w:r>
          </w:p>
        </w:tc>
        <w:tc>
          <w:tcPr>
            <w:tcW w:w="678" w:type="pct"/>
            <w:shd w:val="clear" w:color="auto" w:fill="auto"/>
            <w:vAlign w:val="center"/>
          </w:tcPr>
          <w:p>
            <w:pPr>
              <w:widowControl/>
              <w:jc w:val="center"/>
              <w:textAlignment w:val="center"/>
              <w:rPr>
                <w:rFonts w:hint="eastAsia" w:ascii="宋体" w:hAnsi="宋体" w:cs="Calibri"/>
                <w:color w:val="000000"/>
              </w:rPr>
            </w:pPr>
            <w:r>
              <w:rPr>
                <w:rFonts w:hint="eastAsia" w:ascii="宋体" w:hAnsi="宋体" w:cs="Calibri"/>
                <w:color w:val="000000"/>
                <w:kern w:val="0"/>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93" w:type="pct"/>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业绩</w:t>
            </w:r>
            <w:r>
              <w:rPr>
                <w:rStyle w:val="24"/>
                <w:rFonts w:hint="default"/>
                <w:lang w:bidi="ar"/>
              </w:rPr>
              <w:t>证明</w:t>
            </w:r>
          </w:p>
        </w:tc>
        <w:tc>
          <w:tcPr>
            <w:tcW w:w="3629" w:type="pct"/>
            <w:shd w:val="clear" w:color="auto" w:fill="auto"/>
            <w:vAlign w:val="center"/>
          </w:tcPr>
          <w:p>
            <w:pPr>
              <w:widowControl/>
              <w:textAlignment w:val="center"/>
              <w:rPr>
                <w:rFonts w:hint="eastAsia" w:ascii="宋体" w:hAnsi="宋体" w:cs="宋体"/>
                <w:color w:val="000000"/>
              </w:rPr>
            </w:pPr>
            <w:r>
              <w:rPr>
                <w:rFonts w:hint="eastAsia" w:ascii="宋体" w:hAnsi="宋体" w:cs="宋体"/>
                <w:color w:val="000000"/>
                <w:kern w:val="0"/>
                <w:lang w:bidi="ar"/>
              </w:rPr>
              <w:t>报价人或原厂厂家须提供近三年（开标之日往前追溯三年，以签订合同之日或中标通知书发出之日为准）的同类型项目应用案例，每提供一个有效业绩得</w:t>
            </w:r>
            <w:r>
              <w:rPr>
                <w:rStyle w:val="23"/>
                <w:rFonts w:hint="eastAsia"/>
              </w:rPr>
              <w:t>3</w:t>
            </w:r>
            <w:r>
              <w:rPr>
                <w:rStyle w:val="24"/>
                <w:rFonts w:hint="default"/>
                <w:lang w:bidi="ar"/>
              </w:rPr>
              <w:t>分，最高得</w:t>
            </w:r>
            <w:r>
              <w:rPr>
                <w:rStyle w:val="23"/>
                <w:rFonts w:hint="eastAsia"/>
              </w:rPr>
              <w:t>12</w:t>
            </w:r>
            <w:r>
              <w:rPr>
                <w:rStyle w:val="24"/>
                <w:rFonts w:hint="default"/>
                <w:lang w:bidi="ar"/>
              </w:rPr>
              <w:t>分。（提供中标通知书或合同复印件）。</w:t>
            </w:r>
          </w:p>
        </w:tc>
        <w:tc>
          <w:tcPr>
            <w:tcW w:w="678" w:type="pct"/>
            <w:shd w:val="clear" w:color="auto" w:fill="auto"/>
            <w:vAlign w:val="center"/>
          </w:tcPr>
          <w:p>
            <w:pPr>
              <w:widowControl/>
              <w:jc w:val="center"/>
              <w:textAlignment w:val="center"/>
              <w:rPr>
                <w:rFonts w:hint="eastAsia" w:ascii="宋体" w:hAnsi="宋体" w:cs="Calibri"/>
                <w:color w:val="000000"/>
              </w:rPr>
            </w:pPr>
            <w:r>
              <w:rPr>
                <w:rFonts w:hint="eastAsia" w:ascii="宋体" w:hAnsi="宋体" w:cs="Calibri"/>
                <w:color w:val="000000"/>
                <w:kern w:val="0"/>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93" w:type="pct"/>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技术响应部分</w:t>
            </w:r>
          </w:p>
        </w:tc>
        <w:tc>
          <w:tcPr>
            <w:tcW w:w="3629" w:type="pct"/>
            <w:shd w:val="clear" w:color="auto" w:fill="auto"/>
            <w:vAlign w:val="center"/>
          </w:tcPr>
          <w:p>
            <w:pPr>
              <w:widowControl/>
              <w:textAlignment w:val="center"/>
              <w:rPr>
                <w:rFonts w:hint="eastAsia" w:ascii="宋体" w:hAnsi="宋体" w:cs="宋体"/>
                <w:color w:val="000000"/>
                <w:kern w:val="0"/>
                <w:lang w:bidi="ar"/>
              </w:rPr>
            </w:pPr>
            <w:r>
              <w:rPr>
                <w:rFonts w:hint="eastAsia" w:ascii="宋体" w:hAnsi="宋体" w:cs="宋体"/>
                <w:color w:val="000000"/>
                <w:kern w:val="0"/>
                <w:lang w:bidi="ar"/>
              </w:rPr>
              <w:t>根据报价人对项目技术要求、功能要求的具体响应情况。</w:t>
            </w:r>
          </w:p>
          <w:p>
            <w:pPr>
              <w:widowControl/>
              <w:textAlignment w:val="center"/>
              <w:rPr>
                <w:rFonts w:hint="eastAsia" w:ascii="宋体" w:hAnsi="宋体" w:cs="宋体"/>
                <w:color w:val="000000"/>
                <w:kern w:val="0"/>
                <w:lang w:bidi="ar"/>
              </w:rPr>
            </w:pPr>
            <w:r>
              <w:rPr>
                <w:rFonts w:hint="eastAsia" w:ascii="宋体" w:hAnsi="宋体" w:cs="宋体"/>
                <w:color w:val="000000"/>
                <w:kern w:val="0"/>
                <w:lang w:bidi="ar"/>
              </w:rPr>
              <w:t>(1) 项目完全符合技术要求、满足功能需要，得 20分；</w:t>
            </w:r>
          </w:p>
          <w:p>
            <w:pPr>
              <w:widowControl/>
              <w:textAlignment w:val="center"/>
              <w:rPr>
                <w:rFonts w:hint="eastAsia" w:ascii="宋体" w:hAnsi="宋体" w:cs="宋体"/>
                <w:color w:val="000000"/>
                <w:kern w:val="0"/>
                <w:lang w:bidi="ar"/>
              </w:rPr>
            </w:pPr>
            <w:r>
              <w:rPr>
                <w:rFonts w:hint="eastAsia" w:ascii="宋体" w:hAnsi="宋体" w:cs="宋体"/>
                <w:color w:val="000000"/>
                <w:kern w:val="0"/>
                <w:lang w:bidi="ar"/>
              </w:rPr>
              <w:t>(2) 项目部分符合技术要求、满足功能需要，得 10分；</w:t>
            </w:r>
          </w:p>
          <w:p>
            <w:pPr>
              <w:widowControl/>
              <w:textAlignment w:val="center"/>
              <w:rPr>
                <w:rFonts w:hint="eastAsia" w:ascii="宋体" w:hAnsi="宋体" w:cs="宋体"/>
                <w:color w:val="000000"/>
                <w:kern w:val="0"/>
                <w:lang w:bidi="ar"/>
              </w:rPr>
            </w:pPr>
            <w:r>
              <w:rPr>
                <w:rFonts w:hint="eastAsia" w:ascii="宋体" w:hAnsi="宋体" w:cs="宋体"/>
                <w:color w:val="000000"/>
                <w:kern w:val="0"/>
                <w:lang w:bidi="ar"/>
              </w:rPr>
              <w:t>(3) 项目基本符合技术要求、符合部分功能需要，得 4分。</w:t>
            </w:r>
          </w:p>
          <w:p>
            <w:pPr>
              <w:widowControl/>
              <w:textAlignment w:val="center"/>
              <w:rPr>
                <w:rFonts w:hint="eastAsia" w:ascii="宋体" w:hAnsi="宋体" w:cs="宋体"/>
                <w:color w:val="000000"/>
              </w:rPr>
            </w:pPr>
            <w:r>
              <w:rPr>
                <w:rFonts w:hint="eastAsia" w:ascii="宋体" w:hAnsi="宋体" w:cs="宋体"/>
                <w:color w:val="000000"/>
                <w:kern w:val="0"/>
                <w:lang w:bidi="ar"/>
              </w:rPr>
              <w:t>(4) 完全不符合功能需要，得 0 分。</w:t>
            </w:r>
          </w:p>
        </w:tc>
        <w:tc>
          <w:tcPr>
            <w:tcW w:w="678" w:type="pct"/>
            <w:shd w:val="clear" w:color="auto" w:fill="auto"/>
            <w:vAlign w:val="center"/>
          </w:tcPr>
          <w:p>
            <w:pPr>
              <w:widowControl/>
              <w:jc w:val="center"/>
              <w:textAlignment w:val="center"/>
              <w:rPr>
                <w:rFonts w:hint="eastAsia" w:ascii="宋体" w:hAnsi="宋体" w:cs="Calibri"/>
                <w:color w:val="000000"/>
              </w:rPr>
            </w:pPr>
            <w:r>
              <w:rPr>
                <w:rFonts w:hint="eastAsia" w:ascii="宋体" w:hAnsi="宋体" w:cs="Calibri"/>
                <w:color w:val="000000"/>
                <w:kern w:val="0"/>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93" w:type="pct"/>
            <w:vMerge w:val="restart"/>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项目团队</w:t>
            </w:r>
          </w:p>
        </w:tc>
        <w:tc>
          <w:tcPr>
            <w:tcW w:w="3629" w:type="pct"/>
            <w:shd w:val="clear" w:color="auto" w:fill="auto"/>
            <w:vAlign w:val="center"/>
          </w:tcPr>
          <w:p>
            <w:pPr>
              <w:widowControl/>
              <w:textAlignment w:val="center"/>
              <w:rPr>
                <w:rFonts w:hint="eastAsia" w:ascii="宋体" w:hAnsi="宋体" w:cs="宋体"/>
                <w:color w:val="000000"/>
              </w:rPr>
            </w:pPr>
            <w:r>
              <w:rPr>
                <w:rFonts w:hint="eastAsia" w:ascii="宋体" w:hAnsi="宋体" w:cs="宋体"/>
                <w:color w:val="000000"/>
                <w:kern w:val="0"/>
                <w:lang w:bidi="ar"/>
              </w:rPr>
              <w:t>报价人拟派的现场项目经理具有</w:t>
            </w:r>
            <w:r>
              <w:rPr>
                <w:rFonts w:hint="eastAsia"/>
              </w:rPr>
              <w:t>信息系统项目管理师</w:t>
            </w:r>
            <w:r>
              <w:rPr>
                <w:rStyle w:val="24"/>
                <w:rFonts w:hint="default"/>
                <w:lang w:bidi="ar"/>
              </w:rPr>
              <w:t xml:space="preserve">认证证书，完全满足得 </w:t>
            </w:r>
            <w:r>
              <w:rPr>
                <w:rStyle w:val="23"/>
                <w:rFonts w:hint="eastAsia"/>
              </w:rPr>
              <w:t>3</w:t>
            </w:r>
            <w:r>
              <w:rPr>
                <w:rStyle w:val="24"/>
                <w:rFonts w:hint="default"/>
                <w:lang w:bidi="ar"/>
              </w:rPr>
              <w:t>分，否则不得分。</w:t>
            </w:r>
          </w:p>
        </w:tc>
        <w:tc>
          <w:tcPr>
            <w:tcW w:w="678" w:type="pct"/>
            <w:vMerge w:val="restart"/>
            <w:shd w:val="clear" w:color="auto" w:fill="auto"/>
            <w:vAlign w:val="center"/>
          </w:tcPr>
          <w:p>
            <w:pPr>
              <w:widowControl/>
              <w:jc w:val="center"/>
              <w:textAlignment w:val="center"/>
              <w:rPr>
                <w:rFonts w:ascii="宋体" w:hAnsi="宋体" w:cs="Times New Roman"/>
                <w:color w:val="000000"/>
              </w:rPr>
            </w:pPr>
            <w:r>
              <w:rPr>
                <w:rFonts w:hint="eastAsia" w:ascii="宋体" w:hAnsi="宋体" w:cs="Times New Roman"/>
                <w:color w:val="000000"/>
                <w:kern w:val="0"/>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93" w:type="pct"/>
            <w:vMerge w:val="continue"/>
            <w:shd w:val="clear" w:color="auto" w:fill="auto"/>
            <w:vAlign w:val="center"/>
          </w:tcPr>
          <w:p>
            <w:pPr>
              <w:jc w:val="center"/>
              <w:rPr>
                <w:rFonts w:hint="eastAsia" w:ascii="宋体" w:hAnsi="宋体" w:cs="宋体"/>
                <w:color w:val="000000"/>
              </w:rPr>
            </w:pPr>
          </w:p>
        </w:tc>
        <w:tc>
          <w:tcPr>
            <w:tcW w:w="3629" w:type="pct"/>
            <w:shd w:val="clear" w:color="auto" w:fill="auto"/>
            <w:vAlign w:val="center"/>
          </w:tcPr>
          <w:p>
            <w:pPr>
              <w:widowControl/>
              <w:textAlignment w:val="center"/>
              <w:rPr>
                <w:rFonts w:hint="eastAsia" w:ascii="宋体" w:hAnsi="宋体" w:cs="宋体"/>
                <w:color w:val="000000"/>
              </w:rPr>
            </w:pPr>
            <w:r>
              <w:rPr>
                <w:rFonts w:hint="eastAsia" w:ascii="宋体" w:hAnsi="宋体" w:cs="宋体"/>
                <w:color w:val="000000"/>
                <w:kern w:val="0"/>
                <w:lang w:bidi="ar"/>
              </w:rPr>
              <w:t>报价文件中提供证明资料（有效期内）的原件扫描件及报价人近半年为其缴纳社保证明原件扫描件，以上内容须同时具备，否则不予认可。</w:t>
            </w:r>
          </w:p>
        </w:tc>
        <w:tc>
          <w:tcPr>
            <w:tcW w:w="678" w:type="pct"/>
            <w:vMerge w:val="continue"/>
            <w:shd w:val="clear" w:color="auto" w:fill="auto"/>
            <w:vAlign w:val="center"/>
          </w:tcPr>
          <w:p>
            <w:pPr>
              <w:jc w:val="center"/>
              <w:rPr>
                <w:rFonts w:ascii="宋体" w:hAnsi="宋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3" w:type="pct"/>
            <w:vMerge w:val="continue"/>
            <w:shd w:val="clear" w:color="auto" w:fill="auto"/>
            <w:vAlign w:val="center"/>
          </w:tcPr>
          <w:p>
            <w:pPr>
              <w:jc w:val="center"/>
              <w:rPr>
                <w:rFonts w:hint="eastAsia" w:ascii="宋体" w:hAnsi="宋体" w:cs="宋体"/>
                <w:color w:val="000000"/>
              </w:rPr>
            </w:pPr>
          </w:p>
        </w:tc>
        <w:tc>
          <w:tcPr>
            <w:tcW w:w="3629" w:type="pct"/>
            <w:shd w:val="clear" w:color="auto" w:fill="auto"/>
            <w:noWrap/>
            <w:vAlign w:val="center"/>
          </w:tcPr>
          <w:p>
            <w:pPr>
              <w:widowControl/>
              <w:textAlignment w:val="center"/>
              <w:rPr>
                <w:rFonts w:hint="eastAsia" w:ascii="宋体" w:hAnsi="宋体" w:cs="宋体"/>
                <w:color w:val="000000"/>
              </w:rPr>
            </w:pPr>
            <w:r>
              <w:rPr>
                <w:rFonts w:hint="eastAsia" w:ascii="宋体" w:hAnsi="宋体" w:cs="宋体"/>
                <w:color w:val="000000"/>
                <w:kern w:val="0"/>
                <w:lang w:bidi="ar"/>
              </w:rPr>
              <w:t>原厂厂家拟派的项目组其他技术成员结构合理：</w:t>
            </w:r>
          </w:p>
        </w:tc>
        <w:tc>
          <w:tcPr>
            <w:tcW w:w="678" w:type="pct"/>
            <w:vMerge w:val="restart"/>
            <w:shd w:val="clear" w:color="auto" w:fill="auto"/>
            <w:vAlign w:val="center"/>
          </w:tcPr>
          <w:p>
            <w:pPr>
              <w:widowControl/>
              <w:jc w:val="center"/>
              <w:textAlignment w:val="center"/>
              <w:rPr>
                <w:rFonts w:ascii="宋体" w:hAnsi="宋体" w:cs="Times New Roman"/>
                <w:color w:val="000000"/>
              </w:rPr>
            </w:pPr>
            <w:r>
              <w:rPr>
                <w:rFonts w:hint="eastAsia" w:ascii="宋体" w:hAnsi="宋体" w:cs="Times New Roman"/>
                <w:color w:val="000000"/>
                <w:kern w:val="0"/>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93" w:type="pct"/>
            <w:vMerge w:val="continue"/>
            <w:shd w:val="clear" w:color="auto" w:fill="auto"/>
            <w:vAlign w:val="center"/>
          </w:tcPr>
          <w:p>
            <w:pPr>
              <w:jc w:val="center"/>
              <w:rPr>
                <w:rFonts w:hint="eastAsia" w:ascii="宋体" w:hAnsi="宋体" w:cs="宋体"/>
                <w:color w:val="000000"/>
              </w:rPr>
            </w:pPr>
          </w:p>
        </w:tc>
        <w:tc>
          <w:tcPr>
            <w:tcW w:w="3629" w:type="pct"/>
            <w:shd w:val="clear" w:color="auto" w:fill="auto"/>
            <w:noWrap/>
            <w:vAlign w:val="center"/>
          </w:tcPr>
          <w:p>
            <w:pPr>
              <w:widowControl/>
              <w:textAlignment w:val="center"/>
              <w:rPr>
                <w:rFonts w:ascii="宋体" w:hAnsi="宋体" w:cs="Calibri"/>
                <w:color w:val="000000"/>
              </w:rPr>
            </w:pPr>
            <w:r>
              <w:rPr>
                <w:rFonts w:ascii="宋体" w:hAnsi="宋体" w:cs="Calibri"/>
                <w:color w:val="000000"/>
                <w:kern w:val="0"/>
                <w:lang w:bidi="ar"/>
              </w:rPr>
              <w:t>1</w:t>
            </w:r>
            <w:r>
              <w:rPr>
                <w:rStyle w:val="24"/>
                <w:rFonts w:hint="default"/>
                <w:lang w:bidi="ar"/>
              </w:rPr>
              <w:t>、</w:t>
            </w:r>
            <w:r>
              <w:rPr>
                <w:rStyle w:val="23"/>
                <w:rFonts w:hint="eastAsia" w:ascii="宋体" w:hAnsi="宋体"/>
                <w:lang w:bidi="ar"/>
              </w:rPr>
              <w:t>软件设计师</w:t>
            </w:r>
          </w:p>
        </w:tc>
        <w:tc>
          <w:tcPr>
            <w:tcW w:w="678" w:type="pct"/>
            <w:vMerge w:val="continue"/>
            <w:shd w:val="clear" w:color="auto" w:fill="auto"/>
            <w:vAlign w:val="center"/>
          </w:tcPr>
          <w:p>
            <w:pPr>
              <w:jc w:val="center"/>
              <w:rPr>
                <w:rFonts w:ascii="宋体" w:hAnsi="宋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93" w:type="pct"/>
            <w:vMerge w:val="continue"/>
            <w:shd w:val="clear" w:color="auto" w:fill="auto"/>
            <w:vAlign w:val="center"/>
          </w:tcPr>
          <w:p>
            <w:pPr>
              <w:jc w:val="center"/>
              <w:rPr>
                <w:rFonts w:hint="eastAsia" w:ascii="宋体" w:hAnsi="宋体" w:cs="宋体"/>
                <w:color w:val="000000"/>
              </w:rPr>
            </w:pPr>
          </w:p>
        </w:tc>
        <w:tc>
          <w:tcPr>
            <w:tcW w:w="3629" w:type="pct"/>
            <w:shd w:val="clear" w:color="auto" w:fill="auto"/>
            <w:noWrap/>
            <w:vAlign w:val="center"/>
          </w:tcPr>
          <w:p>
            <w:pPr>
              <w:widowControl/>
              <w:textAlignment w:val="center"/>
              <w:rPr>
                <w:rFonts w:ascii="宋体" w:hAnsi="宋体" w:cs="Calibri"/>
                <w:color w:val="000000"/>
              </w:rPr>
            </w:pPr>
            <w:r>
              <w:rPr>
                <w:rFonts w:ascii="宋体" w:hAnsi="宋体" w:cs="Calibri"/>
                <w:color w:val="000000"/>
                <w:kern w:val="0"/>
                <w:lang w:bidi="ar"/>
              </w:rPr>
              <w:t>2</w:t>
            </w:r>
            <w:r>
              <w:rPr>
                <w:rStyle w:val="24"/>
                <w:rFonts w:hint="default"/>
                <w:lang w:bidi="ar"/>
              </w:rPr>
              <w:t>、</w:t>
            </w:r>
            <w:r>
              <w:rPr>
                <w:rFonts w:hint="eastAsia"/>
              </w:rPr>
              <w:t>系统集成项目管理工程师</w:t>
            </w:r>
          </w:p>
        </w:tc>
        <w:tc>
          <w:tcPr>
            <w:tcW w:w="678" w:type="pct"/>
            <w:vMerge w:val="continue"/>
            <w:shd w:val="clear" w:color="auto" w:fill="auto"/>
            <w:vAlign w:val="center"/>
          </w:tcPr>
          <w:p>
            <w:pPr>
              <w:jc w:val="center"/>
              <w:rPr>
                <w:rFonts w:ascii="宋体" w:hAnsi="宋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93" w:type="pct"/>
            <w:vMerge w:val="continue"/>
            <w:shd w:val="clear" w:color="auto" w:fill="auto"/>
            <w:vAlign w:val="center"/>
          </w:tcPr>
          <w:p>
            <w:pPr>
              <w:jc w:val="center"/>
              <w:rPr>
                <w:rFonts w:hint="eastAsia" w:ascii="宋体" w:hAnsi="宋体" w:cs="宋体"/>
                <w:color w:val="000000"/>
              </w:rPr>
            </w:pPr>
          </w:p>
        </w:tc>
        <w:tc>
          <w:tcPr>
            <w:tcW w:w="3629" w:type="pct"/>
            <w:shd w:val="clear" w:color="auto" w:fill="auto"/>
            <w:noWrap/>
            <w:vAlign w:val="center"/>
          </w:tcPr>
          <w:p>
            <w:pPr>
              <w:widowControl/>
              <w:textAlignment w:val="center"/>
              <w:rPr>
                <w:rFonts w:hint="eastAsia" w:ascii="宋体" w:hAnsi="宋体" w:cs="宋体"/>
                <w:color w:val="000000"/>
              </w:rPr>
            </w:pPr>
            <w:r>
              <w:rPr>
                <w:rFonts w:hint="eastAsia" w:ascii="宋体" w:hAnsi="宋体" w:cs="宋体"/>
                <w:color w:val="000000"/>
                <w:kern w:val="0"/>
                <w:lang w:bidi="ar"/>
              </w:rPr>
              <w:t xml:space="preserve">全部满足的得 </w:t>
            </w:r>
            <w:r>
              <w:rPr>
                <w:rStyle w:val="23"/>
                <w:rFonts w:hint="eastAsia"/>
              </w:rPr>
              <w:t>4</w:t>
            </w:r>
            <w:r>
              <w:rPr>
                <w:rStyle w:val="24"/>
                <w:rFonts w:hint="default"/>
                <w:lang w:bidi="ar"/>
              </w:rPr>
              <w:t xml:space="preserve">分，每缺少一项扣 </w:t>
            </w:r>
            <w:r>
              <w:rPr>
                <w:rStyle w:val="23"/>
                <w:rFonts w:hint="eastAsia"/>
              </w:rPr>
              <w:t>2</w:t>
            </w:r>
            <w:r>
              <w:rPr>
                <w:rStyle w:val="24"/>
                <w:rFonts w:hint="default"/>
                <w:lang w:bidi="ar"/>
              </w:rPr>
              <w:t>分，扣完为止。 同一人员提供多项证书的，不重复计分。</w:t>
            </w:r>
          </w:p>
        </w:tc>
        <w:tc>
          <w:tcPr>
            <w:tcW w:w="678" w:type="pct"/>
            <w:vMerge w:val="continue"/>
            <w:shd w:val="clear" w:color="auto" w:fill="auto"/>
            <w:vAlign w:val="center"/>
          </w:tcPr>
          <w:p>
            <w:pPr>
              <w:jc w:val="center"/>
              <w:rPr>
                <w:rFonts w:ascii="宋体" w:hAnsi="宋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93" w:type="pct"/>
            <w:vMerge w:val="continue"/>
            <w:shd w:val="clear" w:color="auto" w:fill="auto"/>
            <w:vAlign w:val="center"/>
          </w:tcPr>
          <w:p>
            <w:pPr>
              <w:jc w:val="center"/>
              <w:rPr>
                <w:rFonts w:hint="eastAsia" w:ascii="宋体" w:hAnsi="宋体" w:cs="宋体"/>
                <w:color w:val="000000"/>
              </w:rPr>
            </w:pPr>
          </w:p>
        </w:tc>
        <w:tc>
          <w:tcPr>
            <w:tcW w:w="3629" w:type="pct"/>
            <w:shd w:val="clear" w:color="auto" w:fill="auto"/>
            <w:noWrap/>
            <w:vAlign w:val="center"/>
          </w:tcPr>
          <w:p>
            <w:pPr>
              <w:widowControl/>
              <w:textAlignment w:val="center"/>
              <w:rPr>
                <w:rFonts w:hint="eastAsia" w:ascii="宋体" w:hAnsi="宋体" w:cs="宋体"/>
                <w:color w:val="000000"/>
              </w:rPr>
            </w:pPr>
            <w:r>
              <w:rPr>
                <w:rFonts w:hint="eastAsia" w:ascii="宋体" w:hAnsi="宋体" w:cs="宋体"/>
                <w:color w:val="000000"/>
                <w:kern w:val="0"/>
                <w:lang w:bidi="ar"/>
              </w:rPr>
              <w:t>报价文件中提供证明资料（有效期内）的原件扫描件及原厂厂家近半年为其缴纳社保证明原件扫描件，以上内容须同时具备，否则不予认可。</w:t>
            </w:r>
          </w:p>
        </w:tc>
        <w:tc>
          <w:tcPr>
            <w:tcW w:w="678" w:type="pct"/>
            <w:vMerge w:val="continue"/>
            <w:shd w:val="clear" w:color="auto" w:fill="auto"/>
            <w:vAlign w:val="center"/>
          </w:tcPr>
          <w:p>
            <w:pPr>
              <w:jc w:val="center"/>
              <w:rPr>
                <w:rFonts w:ascii="宋体" w:hAnsi="宋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3" w:type="pct"/>
            <w:vMerge w:val="restart"/>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质量保障措施</w:t>
            </w:r>
          </w:p>
        </w:tc>
        <w:tc>
          <w:tcPr>
            <w:tcW w:w="3629" w:type="pct"/>
            <w:shd w:val="clear" w:color="auto" w:fill="auto"/>
            <w:vAlign w:val="center"/>
          </w:tcPr>
          <w:p>
            <w:pPr>
              <w:widowControl/>
              <w:textAlignment w:val="center"/>
              <w:rPr>
                <w:rFonts w:hint="eastAsia" w:ascii="宋体" w:hAnsi="宋体" w:cs="宋体"/>
                <w:color w:val="000000"/>
              </w:rPr>
            </w:pPr>
            <w:r>
              <w:rPr>
                <w:rFonts w:hint="eastAsia" w:ascii="宋体" w:hAnsi="宋体" w:cs="宋体"/>
                <w:color w:val="000000"/>
                <w:kern w:val="0"/>
                <w:lang w:bidi="ar"/>
              </w:rPr>
              <w:t>根据报价人提供的系统开发的相关质量保障措施进行评分；</w:t>
            </w:r>
          </w:p>
        </w:tc>
        <w:tc>
          <w:tcPr>
            <w:tcW w:w="678" w:type="pct"/>
            <w:vMerge w:val="restart"/>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shd w:val="clear" w:color="auto" w:fill="auto"/>
            <w:vAlign w:val="center"/>
          </w:tcPr>
          <w:p>
            <w:pPr>
              <w:jc w:val="center"/>
              <w:rPr>
                <w:rFonts w:hint="eastAsia" w:ascii="宋体" w:hAnsi="宋体" w:cs="宋体"/>
                <w:color w:val="000000"/>
              </w:rPr>
            </w:pPr>
          </w:p>
        </w:tc>
        <w:tc>
          <w:tcPr>
            <w:tcW w:w="3629" w:type="pct"/>
            <w:shd w:val="clear" w:color="auto" w:fill="auto"/>
            <w:vAlign w:val="center"/>
          </w:tcPr>
          <w:p>
            <w:pPr>
              <w:widowControl/>
              <w:textAlignment w:val="center"/>
              <w:rPr>
                <w:rFonts w:ascii="宋体" w:hAnsi="宋体" w:cs="Calibri"/>
                <w:color w:val="000000"/>
              </w:rPr>
            </w:pPr>
            <w:r>
              <w:rPr>
                <w:rFonts w:ascii="宋体" w:hAnsi="宋体" w:cs="Calibri"/>
                <w:color w:val="000000"/>
                <w:kern w:val="0"/>
                <w:lang w:bidi="ar"/>
              </w:rPr>
              <w:t xml:space="preserve">(1) </w:t>
            </w:r>
            <w:r>
              <w:rPr>
                <w:rStyle w:val="24"/>
                <w:rFonts w:hint="default"/>
                <w:lang w:bidi="ar"/>
              </w:rPr>
              <w:t>保障措施计划详尽、合理、完善，得</w:t>
            </w:r>
            <w:r>
              <w:rPr>
                <w:rStyle w:val="23"/>
                <w:rFonts w:hint="eastAsia"/>
              </w:rPr>
              <w:t>10</w:t>
            </w:r>
            <w:r>
              <w:rPr>
                <w:rStyle w:val="24"/>
                <w:rFonts w:hint="default"/>
                <w:lang w:bidi="ar"/>
              </w:rPr>
              <w:t>分；</w:t>
            </w:r>
          </w:p>
        </w:tc>
        <w:tc>
          <w:tcPr>
            <w:tcW w:w="678" w:type="pct"/>
            <w:vMerge w:val="continue"/>
            <w:shd w:val="clear" w:color="auto" w:fill="auto"/>
            <w:vAlign w:val="center"/>
          </w:tcPr>
          <w:p>
            <w:pPr>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shd w:val="clear" w:color="auto" w:fill="auto"/>
            <w:vAlign w:val="center"/>
          </w:tcPr>
          <w:p>
            <w:pPr>
              <w:jc w:val="center"/>
              <w:rPr>
                <w:rFonts w:hint="eastAsia" w:ascii="宋体" w:hAnsi="宋体" w:cs="宋体"/>
                <w:color w:val="000000"/>
              </w:rPr>
            </w:pPr>
          </w:p>
        </w:tc>
        <w:tc>
          <w:tcPr>
            <w:tcW w:w="3629" w:type="pct"/>
            <w:shd w:val="clear" w:color="auto" w:fill="auto"/>
            <w:vAlign w:val="center"/>
          </w:tcPr>
          <w:p>
            <w:pPr>
              <w:widowControl/>
              <w:textAlignment w:val="center"/>
              <w:rPr>
                <w:rFonts w:ascii="宋体" w:hAnsi="宋体" w:cs="Calibri"/>
                <w:color w:val="000000"/>
              </w:rPr>
            </w:pPr>
            <w:r>
              <w:rPr>
                <w:rFonts w:ascii="宋体" w:hAnsi="宋体" w:cs="Calibri"/>
                <w:color w:val="000000"/>
                <w:kern w:val="0"/>
                <w:lang w:bidi="ar"/>
              </w:rPr>
              <w:t xml:space="preserve">(2) </w:t>
            </w:r>
            <w:r>
              <w:rPr>
                <w:rStyle w:val="24"/>
                <w:rFonts w:hint="default"/>
                <w:lang w:bidi="ar"/>
              </w:rPr>
              <w:t xml:space="preserve">保障措施计划较好、基本满足要求，得 </w:t>
            </w:r>
            <w:r>
              <w:rPr>
                <w:rStyle w:val="23"/>
                <w:rFonts w:hint="eastAsia"/>
              </w:rPr>
              <w:t>6</w:t>
            </w:r>
            <w:r>
              <w:rPr>
                <w:rStyle w:val="24"/>
                <w:rFonts w:hint="default"/>
                <w:lang w:bidi="ar"/>
              </w:rPr>
              <w:t>分；</w:t>
            </w:r>
          </w:p>
        </w:tc>
        <w:tc>
          <w:tcPr>
            <w:tcW w:w="678" w:type="pct"/>
            <w:vMerge w:val="continue"/>
            <w:shd w:val="clear" w:color="auto" w:fill="auto"/>
            <w:vAlign w:val="center"/>
          </w:tcPr>
          <w:p>
            <w:pPr>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shd w:val="clear" w:color="auto" w:fill="auto"/>
            <w:vAlign w:val="center"/>
          </w:tcPr>
          <w:p>
            <w:pPr>
              <w:jc w:val="center"/>
              <w:rPr>
                <w:rFonts w:hint="eastAsia" w:ascii="宋体" w:hAnsi="宋体" w:cs="宋体"/>
                <w:color w:val="000000"/>
              </w:rPr>
            </w:pPr>
          </w:p>
        </w:tc>
        <w:tc>
          <w:tcPr>
            <w:tcW w:w="3629" w:type="pct"/>
            <w:shd w:val="clear" w:color="auto" w:fill="auto"/>
            <w:vAlign w:val="center"/>
          </w:tcPr>
          <w:p>
            <w:pPr>
              <w:widowControl/>
              <w:textAlignment w:val="center"/>
              <w:rPr>
                <w:rFonts w:ascii="宋体" w:hAnsi="宋体" w:cs="Calibri"/>
                <w:color w:val="000000"/>
              </w:rPr>
            </w:pPr>
            <w:r>
              <w:rPr>
                <w:rFonts w:ascii="宋体" w:hAnsi="宋体" w:cs="Calibri"/>
                <w:color w:val="000000"/>
                <w:kern w:val="0"/>
                <w:lang w:bidi="ar"/>
              </w:rPr>
              <w:t xml:space="preserve">(3) </w:t>
            </w:r>
            <w:r>
              <w:rPr>
                <w:rStyle w:val="24"/>
                <w:rFonts w:hint="default"/>
                <w:lang w:bidi="ar"/>
              </w:rPr>
              <w:t xml:space="preserve">保障措施计划不完善、不明确，得 </w:t>
            </w:r>
            <w:r>
              <w:rPr>
                <w:rStyle w:val="23"/>
                <w:rFonts w:hint="eastAsia"/>
              </w:rPr>
              <w:t>3</w:t>
            </w:r>
            <w:r>
              <w:rPr>
                <w:rStyle w:val="24"/>
                <w:rFonts w:hint="default"/>
                <w:lang w:bidi="ar"/>
              </w:rPr>
              <w:t>分。</w:t>
            </w:r>
          </w:p>
        </w:tc>
        <w:tc>
          <w:tcPr>
            <w:tcW w:w="678" w:type="pct"/>
            <w:vMerge w:val="continue"/>
            <w:shd w:val="clear" w:color="auto" w:fill="auto"/>
            <w:vAlign w:val="center"/>
          </w:tcPr>
          <w:p>
            <w:pPr>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shd w:val="clear" w:color="auto" w:fill="auto"/>
            <w:vAlign w:val="center"/>
          </w:tcPr>
          <w:p>
            <w:pPr>
              <w:jc w:val="center"/>
              <w:rPr>
                <w:rFonts w:hint="eastAsia" w:ascii="宋体" w:hAnsi="宋体" w:cs="宋体"/>
                <w:color w:val="000000"/>
              </w:rPr>
            </w:pPr>
          </w:p>
        </w:tc>
        <w:tc>
          <w:tcPr>
            <w:tcW w:w="3629" w:type="pct"/>
            <w:shd w:val="clear" w:color="auto" w:fill="auto"/>
            <w:vAlign w:val="center"/>
          </w:tcPr>
          <w:p>
            <w:pPr>
              <w:widowControl/>
              <w:textAlignment w:val="center"/>
              <w:rPr>
                <w:rFonts w:ascii="宋体" w:hAnsi="宋体" w:cs="Calibri"/>
                <w:color w:val="000000"/>
              </w:rPr>
            </w:pPr>
            <w:r>
              <w:rPr>
                <w:rFonts w:ascii="宋体" w:hAnsi="宋体" w:cs="Calibri"/>
                <w:color w:val="000000"/>
                <w:kern w:val="0"/>
                <w:lang w:bidi="ar"/>
              </w:rPr>
              <w:t xml:space="preserve">(4) </w:t>
            </w:r>
            <w:r>
              <w:rPr>
                <w:rStyle w:val="24"/>
                <w:rFonts w:hint="default"/>
                <w:lang w:bidi="ar"/>
              </w:rPr>
              <w:t xml:space="preserve">没有提供，得 </w:t>
            </w:r>
            <w:r>
              <w:rPr>
                <w:rStyle w:val="23"/>
                <w:rFonts w:ascii="宋体" w:hAnsi="宋体"/>
                <w:lang w:bidi="ar"/>
              </w:rPr>
              <w:t xml:space="preserve">0 </w:t>
            </w:r>
            <w:r>
              <w:rPr>
                <w:rStyle w:val="24"/>
                <w:rFonts w:hint="default"/>
                <w:lang w:bidi="ar"/>
              </w:rPr>
              <w:t>分。</w:t>
            </w:r>
          </w:p>
        </w:tc>
        <w:tc>
          <w:tcPr>
            <w:tcW w:w="678" w:type="pct"/>
            <w:vMerge w:val="continue"/>
            <w:shd w:val="clear" w:color="auto" w:fill="auto"/>
            <w:vAlign w:val="center"/>
          </w:tcPr>
          <w:p>
            <w:pPr>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93" w:type="pct"/>
            <w:vMerge w:val="restart"/>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培训计划</w:t>
            </w:r>
          </w:p>
        </w:tc>
        <w:tc>
          <w:tcPr>
            <w:tcW w:w="3629" w:type="pct"/>
            <w:shd w:val="clear" w:color="auto" w:fill="auto"/>
            <w:vAlign w:val="center"/>
          </w:tcPr>
          <w:p>
            <w:pPr>
              <w:widowControl/>
              <w:textAlignment w:val="center"/>
              <w:rPr>
                <w:rFonts w:hint="eastAsia" w:ascii="宋体" w:hAnsi="宋体" w:cs="宋体"/>
                <w:color w:val="000000"/>
              </w:rPr>
            </w:pPr>
            <w:r>
              <w:rPr>
                <w:rFonts w:hint="eastAsia" w:ascii="宋体" w:hAnsi="宋体" w:cs="宋体"/>
                <w:color w:val="000000"/>
                <w:kern w:val="0"/>
                <w:lang w:bidi="ar"/>
              </w:rPr>
              <w:t>根据报价人培训计划的科学性、合理性和可操作性，包括对采购人的管理人员、操作人员及维护人员进行培训等承诺情况等内容。</w:t>
            </w:r>
          </w:p>
        </w:tc>
        <w:tc>
          <w:tcPr>
            <w:tcW w:w="678" w:type="pct"/>
            <w:vMerge w:val="restart"/>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shd w:val="clear" w:color="auto" w:fill="auto"/>
            <w:vAlign w:val="center"/>
          </w:tcPr>
          <w:p>
            <w:pPr>
              <w:jc w:val="center"/>
              <w:rPr>
                <w:rFonts w:hint="eastAsia" w:ascii="宋体" w:hAnsi="宋体" w:cs="宋体"/>
                <w:color w:val="000000"/>
              </w:rPr>
            </w:pPr>
          </w:p>
        </w:tc>
        <w:tc>
          <w:tcPr>
            <w:tcW w:w="3629" w:type="pct"/>
            <w:shd w:val="clear" w:color="auto" w:fill="auto"/>
            <w:vAlign w:val="center"/>
          </w:tcPr>
          <w:p>
            <w:pPr>
              <w:widowControl/>
              <w:textAlignment w:val="center"/>
              <w:rPr>
                <w:rFonts w:ascii="宋体" w:hAnsi="宋体" w:cs="Calibri"/>
                <w:color w:val="000000"/>
              </w:rPr>
            </w:pPr>
            <w:r>
              <w:rPr>
                <w:rFonts w:ascii="宋体" w:hAnsi="宋体" w:cs="Calibri"/>
                <w:color w:val="000000"/>
                <w:kern w:val="0"/>
                <w:lang w:bidi="ar"/>
              </w:rPr>
              <w:t xml:space="preserve">(1) </w:t>
            </w:r>
            <w:r>
              <w:rPr>
                <w:rStyle w:val="24"/>
                <w:rFonts w:hint="default"/>
                <w:lang w:bidi="ar"/>
              </w:rPr>
              <w:t>项目培训计划好、可操作性强，得</w:t>
            </w:r>
            <w:r>
              <w:rPr>
                <w:rStyle w:val="23"/>
                <w:rFonts w:hint="eastAsia"/>
              </w:rPr>
              <w:t>9</w:t>
            </w:r>
            <w:r>
              <w:rPr>
                <w:rStyle w:val="24"/>
                <w:rFonts w:hint="default"/>
                <w:lang w:bidi="ar"/>
              </w:rPr>
              <w:t>分；</w:t>
            </w:r>
          </w:p>
        </w:tc>
        <w:tc>
          <w:tcPr>
            <w:tcW w:w="678" w:type="pct"/>
            <w:vMerge w:val="continue"/>
            <w:shd w:val="clear" w:color="auto" w:fill="auto"/>
            <w:vAlign w:val="center"/>
          </w:tcPr>
          <w:p>
            <w:pPr>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shd w:val="clear" w:color="auto" w:fill="auto"/>
            <w:vAlign w:val="center"/>
          </w:tcPr>
          <w:p>
            <w:pPr>
              <w:jc w:val="center"/>
              <w:rPr>
                <w:rFonts w:hint="eastAsia" w:ascii="宋体" w:hAnsi="宋体" w:cs="宋体"/>
                <w:color w:val="000000"/>
              </w:rPr>
            </w:pPr>
          </w:p>
        </w:tc>
        <w:tc>
          <w:tcPr>
            <w:tcW w:w="3629" w:type="pct"/>
            <w:shd w:val="clear" w:color="auto" w:fill="auto"/>
            <w:vAlign w:val="center"/>
          </w:tcPr>
          <w:p>
            <w:pPr>
              <w:widowControl/>
              <w:textAlignment w:val="center"/>
              <w:rPr>
                <w:rFonts w:ascii="宋体" w:hAnsi="宋体" w:cs="Calibri"/>
                <w:color w:val="000000"/>
              </w:rPr>
            </w:pPr>
            <w:r>
              <w:rPr>
                <w:rFonts w:ascii="宋体" w:hAnsi="宋体" w:cs="Calibri"/>
                <w:color w:val="000000"/>
                <w:kern w:val="0"/>
                <w:lang w:bidi="ar"/>
              </w:rPr>
              <w:t xml:space="preserve">(2) </w:t>
            </w:r>
            <w:r>
              <w:rPr>
                <w:rStyle w:val="24"/>
                <w:rFonts w:hint="default"/>
                <w:lang w:bidi="ar"/>
              </w:rPr>
              <w:t>项目培训计划较好、实际操作性一般，得</w:t>
            </w:r>
            <w:r>
              <w:rPr>
                <w:rStyle w:val="23"/>
                <w:rFonts w:hint="eastAsia"/>
              </w:rPr>
              <w:t>6</w:t>
            </w:r>
            <w:r>
              <w:rPr>
                <w:rStyle w:val="24"/>
                <w:rFonts w:hint="default"/>
                <w:lang w:bidi="ar"/>
              </w:rPr>
              <w:t>分；</w:t>
            </w:r>
          </w:p>
        </w:tc>
        <w:tc>
          <w:tcPr>
            <w:tcW w:w="678" w:type="pct"/>
            <w:vMerge w:val="continue"/>
            <w:shd w:val="clear" w:color="auto" w:fill="auto"/>
            <w:vAlign w:val="center"/>
          </w:tcPr>
          <w:p>
            <w:pPr>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shd w:val="clear" w:color="auto" w:fill="auto"/>
            <w:vAlign w:val="center"/>
          </w:tcPr>
          <w:p>
            <w:pPr>
              <w:jc w:val="center"/>
              <w:rPr>
                <w:rFonts w:hint="eastAsia" w:ascii="宋体" w:hAnsi="宋体" w:cs="宋体"/>
                <w:color w:val="000000"/>
              </w:rPr>
            </w:pPr>
          </w:p>
        </w:tc>
        <w:tc>
          <w:tcPr>
            <w:tcW w:w="3629" w:type="pct"/>
            <w:shd w:val="clear" w:color="auto" w:fill="auto"/>
            <w:vAlign w:val="center"/>
          </w:tcPr>
          <w:p>
            <w:pPr>
              <w:widowControl/>
              <w:textAlignment w:val="center"/>
              <w:rPr>
                <w:rFonts w:ascii="宋体" w:hAnsi="宋体" w:cs="Calibri"/>
                <w:color w:val="000000"/>
              </w:rPr>
            </w:pPr>
            <w:r>
              <w:rPr>
                <w:rFonts w:ascii="宋体" w:hAnsi="宋体" w:cs="Calibri"/>
                <w:color w:val="000000"/>
                <w:kern w:val="0"/>
                <w:lang w:bidi="ar"/>
              </w:rPr>
              <w:t xml:space="preserve">(3) </w:t>
            </w:r>
            <w:r>
              <w:rPr>
                <w:rStyle w:val="24"/>
                <w:rFonts w:hint="default"/>
                <w:lang w:bidi="ar"/>
              </w:rPr>
              <w:t xml:space="preserve">项目培训计划不完善、实际操作性弱，得 </w:t>
            </w:r>
            <w:r>
              <w:rPr>
                <w:rStyle w:val="23"/>
                <w:rFonts w:hint="eastAsia"/>
              </w:rPr>
              <w:t>3</w:t>
            </w:r>
            <w:r>
              <w:rPr>
                <w:rStyle w:val="24"/>
                <w:rFonts w:hint="default"/>
                <w:lang w:bidi="ar"/>
              </w:rPr>
              <w:t>分。</w:t>
            </w:r>
          </w:p>
        </w:tc>
        <w:tc>
          <w:tcPr>
            <w:tcW w:w="678" w:type="pct"/>
            <w:vMerge w:val="continue"/>
            <w:shd w:val="clear" w:color="auto" w:fill="auto"/>
            <w:vAlign w:val="center"/>
          </w:tcPr>
          <w:p>
            <w:pPr>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3" w:type="pct"/>
            <w:vMerge w:val="continue"/>
            <w:shd w:val="clear" w:color="auto" w:fill="auto"/>
            <w:vAlign w:val="center"/>
          </w:tcPr>
          <w:p>
            <w:pPr>
              <w:jc w:val="center"/>
              <w:rPr>
                <w:rFonts w:hint="eastAsia" w:ascii="宋体" w:hAnsi="宋体" w:cs="宋体"/>
                <w:color w:val="000000"/>
              </w:rPr>
            </w:pPr>
          </w:p>
        </w:tc>
        <w:tc>
          <w:tcPr>
            <w:tcW w:w="3629" w:type="pct"/>
            <w:shd w:val="clear" w:color="auto" w:fill="auto"/>
            <w:vAlign w:val="center"/>
          </w:tcPr>
          <w:p>
            <w:pPr>
              <w:widowControl/>
              <w:textAlignment w:val="center"/>
              <w:rPr>
                <w:rFonts w:ascii="宋体" w:hAnsi="宋体" w:cs="Calibri"/>
                <w:color w:val="000000"/>
              </w:rPr>
            </w:pPr>
            <w:r>
              <w:rPr>
                <w:rFonts w:ascii="宋体" w:hAnsi="宋体" w:cs="Calibri"/>
                <w:color w:val="000000"/>
                <w:kern w:val="0"/>
                <w:lang w:bidi="ar"/>
              </w:rPr>
              <w:t xml:space="preserve">(4) </w:t>
            </w:r>
            <w:r>
              <w:rPr>
                <w:rStyle w:val="24"/>
                <w:rFonts w:hint="default"/>
                <w:lang w:bidi="ar"/>
              </w:rPr>
              <w:t xml:space="preserve">没有提供，得 </w:t>
            </w:r>
            <w:r>
              <w:rPr>
                <w:rStyle w:val="23"/>
                <w:rFonts w:ascii="宋体" w:hAnsi="宋体"/>
                <w:lang w:bidi="ar"/>
              </w:rPr>
              <w:t xml:space="preserve">0 </w:t>
            </w:r>
            <w:r>
              <w:rPr>
                <w:rStyle w:val="24"/>
                <w:rFonts w:hint="default"/>
                <w:lang w:bidi="ar"/>
              </w:rPr>
              <w:t>分。</w:t>
            </w:r>
          </w:p>
        </w:tc>
        <w:tc>
          <w:tcPr>
            <w:tcW w:w="678" w:type="pct"/>
            <w:vMerge w:val="continue"/>
            <w:shd w:val="clear" w:color="auto" w:fill="auto"/>
            <w:vAlign w:val="center"/>
          </w:tcPr>
          <w:p>
            <w:pPr>
              <w:jc w:val="center"/>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0" w:hRule="atLeast"/>
        </w:trPr>
        <w:tc>
          <w:tcPr>
            <w:tcW w:w="693" w:type="pct"/>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售后服务</w:t>
            </w:r>
          </w:p>
        </w:tc>
        <w:tc>
          <w:tcPr>
            <w:tcW w:w="3629" w:type="pct"/>
            <w:shd w:val="clear" w:color="auto" w:fill="auto"/>
            <w:vAlign w:val="center"/>
          </w:tcPr>
          <w:p>
            <w:pPr>
              <w:widowControl/>
              <w:textAlignment w:val="center"/>
              <w:rPr>
                <w:rFonts w:hint="eastAsia" w:ascii="宋体" w:hAnsi="宋体" w:cs="宋体"/>
                <w:color w:val="000000"/>
              </w:rPr>
            </w:pPr>
            <w:r>
              <w:rPr>
                <w:rFonts w:hint="eastAsia" w:ascii="宋体" w:hAnsi="宋体" w:cs="宋体"/>
                <w:color w:val="000000"/>
                <w:kern w:val="0"/>
                <w:lang w:bidi="ar"/>
              </w:rPr>
              <w:t>根据报价人售后服务的科学性、合理性、规范性和可操作性进行评分，包括具体的售后服务内容、服务规范、故障响应时间、响应方式等内容。</w:t>
            </w:r>
          </w:p>
          <w:p>
            <w:pPr>
              <w:widowControl/>
              <w:textAlignment w:val="center"/>
              <w:rPr>
                <w:rFonts w:ascii="宋体" w:hAnsi="宋体" w:cs="Calibri"/>
                <w:color w:val="000000"/>
              </w:rPr>
            </w:pPr>
            <w:r>
              <w:rPr>
                <w:rFonts w:ascii="宋体" w:hAnsi="宋体" w:cs="Calibri"/>
                <w:color w:val="000000"/>
                <w:kern w:val="0"/>
                <w:lang w:bidi="ar"/>
              </w:rPr>
              <w:t xml:space="preserve">(1) </w:t>
            </w:r>
            <w:r>
              <w:rPr>
                <w:rStyle w:val="24"/>
                <w:rFonts w:hint="default"/>
                <w:lang w:bidi="ar"/>
              </w:rPr>
              <w:t>售后服务承诺好、服务方式及内容完整，且可提供用户主动查询问题进展途径，得</w:t>
            </w:r>
            <w:r>
              <w:rPr>
                <w:rStyle w:val="23"/>
                <w:rFonts w:hint="eastAsia"/>
              </w:rPr>
              <w:t>12</w:t>
            </w:r>
            <w:r>
              <w:rPr>
                <w:rStyle w:val="24"/>
                <w:rFonts w:hint="default"/>
                <w:lang w:bidi="ar"/>
              </w:rPr>
              <w:t>分；</w:t>
            </w:r>
          </w:p>
          <w:p>
            <w:pPr>
              <w:widowControl/>
              <w:textAlignment w:val="center"/>
              <w:rPr>
                <w:rFonts w:ascii="宋体" w:hAnsi="宋体" w:cs="Calibri"/>
                <w:color w:val="000000"/>
              </w:rPr>
            </w:pPr>
            <w:r>
              <w:rPr>
                <w:rFonts w:ascii="宋体" w:hAnsi="宋体" w:cs="Calibri"/>
                <w:color w:val="000000"/>
                <w:kern w:val="0"/>
                <w:lang w:bidi="ar"/>
              </w:rPr>
              <w:t xml:space="preserve">(2) </w:t>
            </w:r>
            <w:r>
              <w:rPr>
                <w:rStyle w:val="24"/>
                <w:rFonts w:hint="default"/>
                <w:lang w:bidi="ar"/>
              </w:rPr>
              <w:t xml:space="preserve">售后服务承诺较好、服务方式及内容一般，提供用户主动查询问题进展途径单无操作截图的，得 </w:t>
            </w:r>
            <w:r>
              <w:rPr>
                <w:rStyle w:val="23"/>
                <w:rFonts w:hint="eastAsia"/>
              </w:rPr>
              <w:t>7</w:t>
            </w:r>
            <w:r>
              <w:rPr>
                <w:rStyle w:val="24"/>
                <w:rFonts w:hint="default"/>
                <w:lang w:bidi="ar"/>
              </w:rPr>
              <w:t>分；</w:t>
            </w:r>
          </w:p>
          <w:p>
            <w:pPr>
              <w:widowControl/>
              <w:textAlignment w:val="center"/>
              <w:rPr>
                <w:rFonts w:ascii="宋体" w:hAnsi="宋体" w:cs="Calibri"/>
                <w:color w:val="000000"/>
              </w:rPr>
            </w:pPr>
            <w:r>
              <w:rPr>
                <w:rFonts w:ascii="宋体" w:hAnsi="宋体" w:cs="Calibri"/>
                <w:color w:val="000000"/>
                <w:kern w:val="0"/>
                <w:lang w:bidi="ar"/>
              </w:rPr>
              <w:t xml:space="preserve">(3) </w:t>
            </w:r>
            <w:r>
              <w:rPr>
                <w:rStyle w:val="24"/>
                <w:rFonts w:hint="default"/>
                <w:lang w:bidi="ar"/>
              </w:rPr>
              <w:t xml:space="preserve">售后服务承诺不完整、服务方式及内容单一，无用户主动查询问题进展途径内容，得 </w:t>
            </w:r>
            <w:r>
              <w:rPr>
                <w:rStyle w:val="23"/>
                <w:rFonts w:hint="eastAsia"/>
              </w:rPr>
              <w:t>2</w:t>
            </w:r>
            <w:r>
              <w:rPr>
                <w:rStyle w:val="24"/>
                <w:rFonts w:hint="default"/>
                <w:lang w:bidi="ar"/>
              </w:rPr>
              <w:t>分。</w:t>
            </w:r>
          </w:p>
          <w:p>
            <w:pPr>
              <w:widowControl/>
              <w:textAlignment w:val="center"/>
              <w:rPr>
                <w:rFonts w:ascii="宋体" w:hAnsi="宋体" w:cs="Calibri"/>
                <w:color w:val="000000"/>
              </w:rPr>
            </w:pPr>
            <w:r>
              <w:rPr>
                <w:rFonts w:ascii="宋体" w:hAnsi="宋体" w:cs="Calibri"/>
                <w:color w:val="000000"/>
                <w:kern w:val="0"/>
                <w:lang w:bidi="ar"/>
              </w:rPr>
              <w:t xml:space="preserve">(4) </w:t>
            </w:r>
            <w:r>
              <w:rPr>
                <w:rStyle w:val="24"/>
                <w:rFonts w:hint="default"/>
                <w:lang w:bidi="ar"/>
              </w:rPr>
              <w:t xml:space="preserve">没有提供，得 </w:t>
            </w:r>
            <w:r>
              <w:rPr>
                <w:rStyle w:val="23"/>
                <w:rFonts w:ascii="宋体" w:hAnsi="宋体"/>
                <w:lang w:bidi="ar"/>
              </w:rPr>
              <w:t xml:space="preserve">0 </w:t>
            </w:r>
            <w:r>
              <w:rPr>
                <w:rStyle w:val="24"/>
                <w:rFonts w:hint="default"/>
                <w:lang w:bidi="ar"/>
              </w:rPr>
              <w:t>分。</w:t>
            </w:r>
          </w:p>
        </w:tc>
        <w:tc>
          <w:tcPr>
            <w:tcW w:w="678" w:type="pct"/>
            <w:shd w:val="clear" w:color="auto" w:fill="auto"/>
            <w:vAlign w:val="center"/>
          </w:tcPr>
          <w:p>
            <w:pPr>
              <w:widowControl/>
              <w:jc w:val="center"/>
              <w:textAlignment w:val="center"/>
              <w:rPr>
                <w:rFonts w:hint="eastAsia" w:ascii="宋体" w:hAnsi="宋体" w:cs="宋体"/>
                <w:color w:val="000000"/>
              </w:rPr>
            </w:pPr>
            <w:r>
              <w:rPr>
                <w:rFonts w:hint="eastAsia" w:ascii="宋体" w:hAnsi="宋体" w:cs="宋体"/>
                <w:color w:val="000000"/>
                <w:kern w:val="0"/>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693" w:type="pct"/>
            <w:shd w:val="clear" w:color="auto" w:fill="auto"/>
            <w:vAlign w:val="center"/>
          </w:tcPr>
          <w:p>
            <w:pPr>
              <w:widowControl/>
              <w:jc w:val="center"/>
              <w:textAlignment w:val="center"/>
              <w:rPr>
                <w:rFonts w:hint="eastAsia" w:ascii="宋体" w:hAnsi="宋体" w:cs="宋体"/>
                <w:color w:val="000000"/>
                <w:kern w:val="0"/>
                <w:lang w:bidi="ar"/>
              </w:rPr>
            </w:pPr>
            <w:r>
              <w:rPr>
                <w:rFonts w:hint="eastAsia"/>
              </w:rPr>
              <w:t>应急预案</w:t>
            </w:r>
          </w:p>
        </w:tc>
        <w:tc>
          <w:tcPr>
            <w:tcW w:w="3629" w:type="pct"/>
            <w:shd w:val="clear" w:color="auto" w:fill="auto"/>
            <w:vAlign w:val="center"/>
          </w:tcPr>
          <w:p>
            <w:pPr>
              <w:widowControl/>
              <w:textAlignment w:val="center"/>
              <w:rPr>
                <w:rFonts w:ascii="宋体" w:hAnsi="宋体" w:cs="宋体"/>
                <w:color w:val="000000"/>
                <w:kern w:val="0"/>
                <w:lang w:bidi="ar"/>
              </w:rPr>
            </w:pPr>
            <w:r>
              <w:rPr>
                <w:rFonts w:hint="eastAsia" w:ascii="宋体" w:hAnsi="宋体" w:cs="宋体"/>
                <w:color w:val="000000"/>
                <w:kern w:val="0"/>
                <w:lang w:bidi="ar"/>
              </w:rPr>
              <w:t>根据报价人提供的</w:t>
            </w:r>
            <w:r>
              <w:rPr>
                <w:rFonts w:hint="eastAsia"/>
              </w:rPr>
              <w:t>应急预案</w:t>
            </w:r>
            <w:r>
              <w:rPr>
                <w:rFonts w:hint="eastAsia" w:ascii="宋体" w:hAnsi="宋体" w:cs="宋体"/>
                <w:color w:val="000000"/>
                <w:kern w:val="0"/>
                <w:lang w:bidi="ar"/>
              </w:rPr>
              <w:t>进行评分；</w:t>
            </w:r>
          </w:p>
          <w:p>
            <w:pPr>
              <w:widowControl/>
              <w:textAlignment w:val="center"/>
              <w:rPr>
                <w:rFonts w:ascii="宋体" w:hAnsi="宋体" w:cs="宋体"/>
                <w:color w:val="000000"/>
                <w:kern w:val="0"/>
                <w:lang w:bidi="ar"/>
              </w:rPr>
            </w:pPr>
            <w:r>
              <w:rPr>
                <w:rFonts w:ascii="宋体" w:hAnsi="宋体" w:cs="Calibri"/>
                <w:color w:val="000000"/>
                <w:kern w:val="0"/>
                <w:lang w:bidi="ar"/>
              </w:rPr>
              <w:t>(</w:t>
            </w:r>
            <w:r>
              <w:rPr>
                <w:rFonts w:hint="eastAsia" w:ascii="宋体" w:hAnsi="宋体" w:cs="Calibri"/>
                <w:color w:val="000000"/>
                <w:kern w:val="0"/>
                <w:lang w:bidi="ar"/>
              </w:rPr>
              <w:t>1</w:t>
            </w:r>
            <w:r>
              <w:rPr>
                <w:rFonts w:ascii="宋体" w:hAnsi="宋体" w:cs="Calibri"/>
                <w:color w:val="000000"/>
                <w:kern w:val="0"/>
                <w:lang w:bidi="ar"/>
              </w:rPr>
              <w:t>)</w:t>
            </w:r>
            <w:r>
              <w:rPr>
                <w:rFonts w:hint="eastAsia" w:ascii="宋体" w:hAnsi="宋体" w:cs="宋体"/>
                <w:color w:val="000000"/>
                <w:kern w:val="0"/>
                <w:lang w:bidi="ar"/>
              </w:rPr>
              <w:t>项目具有应急预案，且细致合理、针对性强，出现问题，能及时实施应对措施得10分；</w:t>
            </w:r>
          </w:p>
          <w:p>
            <w:pPr>
              <w:widowControl/>
              <w:textAlignment w:val="center"/>
              <w:rPr>
                <w:rFonts w:ascii="宋体" w:hAnsi="宋体" w:cs="宋体"/>
                <w:color w:val="000000"/>
                <w:kern w:val="0"/>
                <w:lang w:bidi="ar"/>
              </w:rPr>
            </w:pPr>
            <w:r>
              <w:rPr>
                <w:rFonts w:ascii="宋体" w:hAnsi="宋体" w:cs="Calibri"/>
                <w:color w:val="000000"/>
                <w:kern w:val="0"/>
                <w:lang w:bidi="ar"/>
              </w:rPr>
              <w:t>(</w:t>
            </w:r>
            <w:r>
              <w:rPr>
                <w:rFonts w:hint="eastAsia" w:ascii="宋体" w:hAnsi="宋体" w:cs="Calibri"/>
                <w:color w:val="000000"/>
                <w:kern w:val="0"/>
                <w:lang w:bidi="ar"/>
              </w:rPr>
              <w:t>2</w:t>
            </w:r>
            <w:r>
              <w:rPr>
                <w:rFonts w:ascii="宋体" w:hAnsi="宋体" w:cs="Calibri"/>
                <w:color w:val="000000"/>
                <w:kern w:val="0"/>
                <w:lang w:bidi="ar"/>
              </w:rPr>
              <w:t>)</w:t>
            </w:r>
            <w:r>
              <w:rPr>
                <w:rFonts w:hint="eastAsia" w:ascii="宋体" w:hAnsi="宋体" w:cs="宋体"/>
                <w:color w:val="000000"/>
                <w:kern w:val="0"/>
                <w:lang w:bidi="ar"/>
              </w:rPr>
              <w:t>项目具有应急预案，针对性一般得6分；</w:t>
            </w:r>
          </w:p>
          <w:p>
            <w:pPr>
              <w:widowControl/>
              <w:textAlignment w:val="center"/>
              <w:rPr>
                <w:rFonts w:ascii="宋体" w:hAnsi="宋体" w:cs="宋体"/>
                <w:color w:val="000000"/>
                <w:kern w:val="0"/>
                <w:lang w:bidi="ar"/>
              </w:rPr>
            </w:pPr>
            <w:r>
              <w:rPr>
                <w:rFonts w:ascii="宋体" w:hAnsi="宋体" w:cs="Calibri"/>
                <w:color w:val="000000"/>
                <w:kern w:val="0"/>
                <w:lang w:bidi="ar"/>
              </w:rPr>
              <w:t>(</w:t>
            </w:r>
            <w:r>
              <w:rPr>
                <w:rFonts w:hint="eastAsia" w:ascii="宋体" w:hAnsi="宋体" w:cs="Calibri"/>
                <w:color w:val="000000"/>
                <w:kern w:val="0"/>
                <w:lang w:bidi="ar"/>
              </w:rPr>
              <w:t>3</w:t>
            </w:r>
            <w:r>
              <w:rPr>
                <w:rFonts w:ascii="宋体" w:hAnsi="宋体" w:cs="Calibri"/>
                <w:color w:val="000000"/>
                <w:kern w:val="0"/>
                <w:lang w:bidi="ar"/>
              </w:rPr>
              <w:t>)</w:t>
            </w:r>
            <w:r>
              <w:rPr>
                <w:rFonts w:hint="eastAsia" w:ascii="宋体" w:hAnsi="宋体" w:cs="宋体"/>
                <w:color w:val="000000"/>
                <w:kern w:val="0"/>
                <w:lang w:bidi="ar"/>
              </w:rPr>
              <w:t>项目具有应急预案，相对简单、针对性弱得2分；</w:t>
            </w:r>
          </w:p>
          <w:p>
            <w:pPr>
              <w:widowControl/>
              <w:textAlignment w:val="center"/>
              <w:rPr>
                <w:rFonts w:hint="eastAsia" w:ascii="宋体" w:hAnsi="宋体" w:cs="宋体"/>
                <w:color w:val="000000"/>
                <w:kern w:val="0"/>
                <w:lang w:bidi="ar"/>
              </w:rPr>
            </w:pPr>
            <w:r>
              <w:rPr>
                <w:rFonts w:ascii="宋体" w:hAnsi="宋体" w:cs="Calibri"/>
                <w:color w:val="000000"/>
                <w:kern w:val="0"/>
                <w:lang w:bidi="ar"/>
              </w:rPr>
              <w:t>(</w:t>
            </w:r>
            <w:r>
              <w:rPr>
                <w:rFonts w:hint="eastAsia" w:ascii="宋体" w:hAnsi="宋体" w:cs="Calibri"/>
                <w:color w:val="000000"/>
                <w:kern w:val="0"/>
                <w:lang w:bidi="ar"/>
              </w:rPr>
              <w:t>4</w:t>
            </w:r>
            <w:r>
              <w:rPr>
                <w:rFonts w:ascii="宋体" w:hAnsi="宋体" w:cs="Calibri"/>
                <w:color w:val="000000"/>
                <w:kern w:val="0"/>
                <w:lang w:bidi="ar"/>
              </w:rPr>
              <w:t xml:space="preserve">) </w:t>
            </w:r>
            <w:r>
              <w:rPr>
                <w:rStyle w:val="24"/>
                <w:rFonts w:hint="default"/>
                <w:lang w:bidi="ar"/>
              </w:rPr>
              <w:t xml:space="preserve">没有提供，得 </w:t>
            </w:r>
            <w:r>
              <w:rPr>
                <w:rStyle w:val="23"/>
                <w:rFonts w:ascii="宋体" w:hAnsi="宋体"/>
                <w:lang w:bidi="ar"/>
              </w:rPr>
              <w:t xml:space="preserve">0 </w:t>
            </w:r>
            <w:r>
              <w:rPr>
                <w:rStyle w:val="24"/>
                <w:rFonts w:hint="default"/>
                <w:lang w:bidi="ar"/>
              </w:rPr>
              <w:t>分。</w:t>
            </w:r>
          </w:p>
        </w:tc>
        <w:tc>
          <w:tcPr>
            <w:tcW w:w="678" w:type="pct"/>
            <w:shd w:val="clear" w:color="auto" w:fill="auto"/>
            <w:vAlign w:val="center"/>
          </w:tcPr>
          <w:p>
            <w:pPr>
              <w:widowControl/>
              <w:jc w:val="center"/>
              <w:textAlignment w:val="center"/>
              <w:rPr>
                <w:rFonts w:hint="eastAsia" w:ascii="宋体" w:hAnsi="宋体" w:cs="宋体"/>
                <w:color w:val="000000"/>
                <w:kern w:val="0"/>
                <w:lang w:bidi="ar"/>
              </w:rPr>
            </w:pPr>
            <w:r>
              <w:rPr>
                <w:rFonts w:hint="eastAsia" w:ascii="宋体" w:hAnsi="宋体" w:cs="宋体"/>
                <w:color w:val="000000"/>
                <w:kern w:val="0"/>
                <w:lang w:bidi="ar"/>
              </w:rPr>
              <w:t>10</w:t>
            </w:r>
            <w:bookmarkStart w:id="0" w:name="_GoBack"/>
            <w:bookmarkEnd w:id="0"/>
          </w:p>
        </w:tc>
      </w:tr>
    </w:tbl>
    <w:p>
      <w:pPr>
        <w:rPr>
          <w:rFonts w:ascii="宋体" w:hAnsi="宋体"/>
        </w:rPr>
      </w:pPr>
    </w:p>
    <w:sectPr>
      <w:pgSz w:w="11906" w:h="16838"/>
      <w:pgMar w:top="1440" w:right="1286"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宋体-简 常规体">
    <w:altName w:val="宋体"/>
    <w:panose1 w:val="00000000000000000000"/>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1BFB1"/>
    <w:multiLevelType w:val="singleLevel"/>
    <w:tmpl w:val="F0F1BFB1"/>
    <w:lvl w:ilvl="0" w:tentative="0">
      <w:start w:val="1"/>
      <w:numFmt w:val="decimal"/>
      <w:suff w:val="nothing"/>
      <w:lvlText w:val="%1"/>
      <w:lvlJc w:val="left"/>
      <w:pPr>
        <w:tabs>
          <w:tab w:val="left" w:pos="0"/>
        </w:tabs>
        <w:ind w:left="0" w:firstLine="0"/>
      </w:pPr>
      <w:rPr>
        <w:rFonts w:hint="default"/>
      </w:rPr>
    </w:lvl>
  </w:abstractNum>
  <w:abstractNum w:abstractNumId="1">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76872C4C"/>
    <w:multiLevelType w:val="singleLevel"/>
    <w:tmpl w:val="76872C4C"/>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GFjNzExZmZmM2M4YjY0MGM1MjczMWExZGYzNTMifQ=="/>
  </w:docVars>
  <w:rsids>
    <w:rsidRoot w:val="00172A27"/>
    <w:rsid w:val="00645CF5"/>
    <w:rsid w:val="00672F57"/>
    <w:rsid w:val="00975E9C"/>
    <w:rsid w:val="009A477E"/>
    <w:rsid w:val="009E5A5F"/>
    <w:rsid w:val="00D32C36"/>
    <w:rsid w:val="00D826A1"/>
    <w:rsid w:val="06CE5CA7"/>
    <w:rsid w:val="087B39E8"/>
    <w:rsid w:val="0E1F17A0"/>
    <w:rsid w:val="106A58B6"/>
    <w:rsid w:val="194C18CF"/>
    <w:rsid w:val="1DD25D93"/>
    <w:rsid w:val="217C6B87"/>
    <w:rsid w:val="218439FB"/>
    <w:rsid w:val="231A61AF"/>
    <w:rsid w:val="2CBC5291"/>
    <w:rsid w:val="36783969"/>
    <w:rsid w:val="38316CA8"/>
    <w:rsid w:val="3D4A346B"/>
    <w:rsid w:val="42C64707"/>
    <w:rsid w:val="42C91868"/>
    <w:rsid w:val="44444E8A"/>
    <w:rsid w:val="491402CC"/>
    <w:rsid w:val="493F0316"/>
    <w:rsid w:val="4A673806"/>
    <w:rsid w:val="4D7A37A4"/>
    <w:rsid w:val="55AE4FFD"/>
    <w:rsid w:val="58196B96"/>
    <w:rsid w:val="5C6E4D42"/>
    <w:rsid w:val="5F7A4DB3"/>
    <w:rsid w:val="611E2EDC"/>
    <w:rsid w:val="61D45648"/>
    <w:rsid w:val="65CA762F"/>
    <w:rsid w:val="6B571220"/>
    <w:rsid w:val="6DBC462A"/>
    <w:rsid w:val="6DD662A4"/>
    <w:rsid w:val="6F4E6291"/>
    <w:rsid w:val="719E532A"/>
    <w:rsid w:val="744B6D39"/>
    <w:rsid w:val="7B9520AE"/>
    <w:rsid w:val="7EE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semiHidden="0" w:name="heading 6"/>
    <w:lsdException w:qFormat="1"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cs="宋体"/>
      <w:b/>
      <w:kern w:val="44"/>
      <w:sz w:val="36"/>
      <w:szCs w:val="36"/>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Arial" w:hAnsi="Arial"/>
      <w:b/>
      <w:sz w:val="30"/>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0"/>
    <w:pPr>
      <w:keepNext/>
      <w:keepLines/>
      <w:numPr>
        <w:ilvl w:val="3"/>
        <w:numId w:val="1"/>
      </w:numPr>
      <w:spacing w:before="280" w:after="290" w:line="372" w:lineRule="auto"/>
      <w:outlineLvl w:val="3"/>
    </w:pPr>
    <w:rPr>
      <w:rFonts w:ascii="Arial" w:hAnsi="Arial"/>
      <w:b/>
      <w:sz w:val="28"/>
    </w:rPr>
  </w:style>
  <w:style w:type="paragraph" w:styleId="6">
    <w:name w:val="heading 5"/>
    <w:basedOn w:val="1"/>
    <w:next w:val="1"/>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qFormat/>
    <w:uiPriority w:val="0"/>
    <w:pPr>
      <w:spacing w:after="120"/>
    </w:pPr>
  </w:style>
  <w:style w:type="paragraph" w:styleId="13">
    <w:name w:val="Body Text Indent"/>
    <w:basedOn w:val="1"/>
    <w:next w:val="14"/>
    <w:qFormat/>
    <w:uiPriority w:val="99"/>
    <w:pPr>
      <w:spacing w:line="540" w:lineRule="exact"/>
      <w:ind w:firstLine="480" w:firstLineChars="200"/>
    </w:pPr>
    <w:rPr>
      <w:sz w:val="24"/>
    </w:rPr>
  </w:style>
  <w:style w:type="paragraph" w:styleId="14">
    <w:name w:val="Body Text First Indent 2"/>
    <w:basedOn w:val="13"/>
    <w:next w:val="15"/>
    <w:qFormat/>
    <w:uiPriority w:val="0"/>
    <w:pPr>
      <w:spacing w:after="120" w:line="240" w:lineRule="auto"/>
      <w:ind w:left="420" w:leftChars="200" w:firstLine="420"/>
    </w:pPr>
    <w:rPr>
      <w:sz w:val="21"/>
    </w:rPr>
  </w:style>
  <w:style w:type="paragraph" w:customStyle="1" w:styleId="15">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26"/>
    <w:qFormat/>
    <w:uiPriority w:val="0"/>
    <w:pPr>
      <w:tabs>
        <w:tab w:val="center" w:pos="4153"/>
        <w:tab w:val="right" w:pos="8306"/>
      </w:tabs>
      <w:snapToGrid w:val="0"/>
      <w:spacing w:line="240" w:lineRule="auto"/>
      <w:jc w:val="center"/>
    </w:pPr>
    <w:rPr>
      <w:sz w:val="18"/>
      <w:szCs w:val="18"/>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No Spacing"/>
    <w:basedOn w:val="1"/>
    <w:qFormat/>
    <w:uiPriority w:val="0"/>
    <w:pPr>
      <w:spacing w:line="240" w:lineRule="auto"/>
      <w:jc w:val="center"/>
    </w:pPr>
    <w:rPr>
      <w:rFonts w:ascii="Times New Roman" w:hAnsi="Times New Roman" w:cs="Times New Roman"/>
      <w:szCs w:val="32"/>
    </w:rPr>
  </w:style>
  <w:style w:type="paragraph" w:customStyle="1" w:styleId="22">
    <w:name w:val="无间隔1"/>
    <w:qFormat/>
    <w:uiPriority w:val="0"/>
    <w:pPr>
      <w:widowControl w:val="0"/>
      <w:jc w:val="center"/>
    </w:pPr>
    <w:rPr>
      <w:rFonts w:ascii="Times New Roman" w:hAnsi="Times New Roman" w:eastAsia="宋体" w:cstheme="minorBidi"/>
      <w:kern w:val="2"/>
      <w:sz w:val="24"/>
      <w:szCs w:val="22"/>
      <w:lang w:val="en-US" w:eastAsia="zh-CN" w:bidi="ar-SA"/>
    </w:rPr>
  </w:style>
  <w:style w:type="character" w:customStyle="1" w:styleId="23">
    <w:name w:val="font21"/>
    <w:basedOn w:val="20"/>
    <w:qFormat/>
    <w:uiPriority w:val="0"/>
    <w:rPr>
      <w:rFonts w:hint="default" w:ascii="Calibri" w:hAnsi="Calibri" w:cs="Calibri"/>
      <w:color w:val="000000"/>
      <w:sz w:val="21"/>
      <w:szCs w:val="21"/>
      <w:u w:val="none"/>
    </w:rPr>
  </w:style>
  <w:style w:type="character" w:customStyle="1" w:styleId="24">
    <w:name w:val="font11"/>
    <w:basedOn w:val="20"/>
    <w:qFormat/>
    <w:uiPriority w:val="0"/>
    <w:rPr>
      <w:rFonts w:hint="eastAsia" w:ascii="宋体" w:hAnsi="宋体" w:eastAsia="宋体" w:cs="宋体"/>
      <w:color w:val="000000"/>
      <w:sz w:val="21"/>
      <w:szCs w:val="21"/>
      <w:u w:val="none"/>
    </w:rPr>
  </w:style>
  <w:style w:type="character" w:customStyle="1" w:styleId="25">
    <w:name w:val="font51"/>
    <w:basedOn w:val="20"/>
    <w:qFormat/>
    <w:uiPriority w:val="0"/>
    <w:rPr>
      <w:rFonts w:hint="eastAsia" w:ascii="宋体" w:hAnsi="宋体" w:eastAsia="宋体" w:cs="宋体"/>
      <w:color w:val="000000"/>
      <w:sz w:val="20"/>
      <w:szCs w:val="20"/>
      <w:u w:val="none"/>
    </w:rPr>
  </w:style>
  <w:style w:type="character" w:customStyle="1" w:styleId="26">
    <w:name w:val="页眉 字符"/>
    <w:basedOn w:val="20"/>
    <w:link w:val="17"/>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1503</Words>
  <Characters>1532</Characters>
  <Lines>20</Lines>
  <Paragraphs>5</Paragraphs>
  <TotalTime>1068</TotalTime>
  <ScaleCrop>false</ScaleCrop>
  <LinksUpToDate>false</LinksUpToDate>
  <CharactersWithSpaces>1539</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2023-05-04T02:06:00Z</dcterms:created>
  <dc:creator>痒痒杨</dc:creator>
  <cp:lastModifiedBy>Kelsen</cp:lastModifiedBy>
  <dcterms:modified xsi:type="dcterms:W3CDTF">2026-06-26T05:23:46Z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0AE1940819864E58B5BD8EDE93EF3A12</vt:lpwstr>
  </property>
  <property fmtid="{D5CDD505-2E9C-101B-9397-08002B2CF9AE}" pid="4" name="KSOTemplateDocerSaveRecord">
    <vt:lpwstr>eyJoZGlkIjoiNGQwNzVkOTE3YTA0ZDRmNzM4NzBiMTY2MmVkMWZmMGMiLCJ1c2VySWQiOiIzNjAzNzY2NzMifQ==</vt:lpwstr>
  </property>
</Properties>
</file>